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B3AC2" w14:textId="77777777" w:rsidR="000B2A86" w:rsidRDefault="000B2A86">
      <w:pPr>
        <w:jc w:val="center"/>
        <w:rPr>
          <w:rFonts w:ascii="宋体"/>
          <w:b/>
          <w:sz w:val="48"/>
          <w:szCs w:val="72"/>
        </w:rPr>
      </w:pPr>
    </w:p>
    <w:p w14:paraId="7ED9F9F7" w14:textId="77777777" w:rsidR="000B2A86" w:rsidRDefault="00B66DB0">
      <w:pPr>
        <w:snapToGrid w:val="0"/>
        <w:jc w:val="center"/>
        <w:rPr>
          <w:rFonts w:ascii="宋体" w:hAnsi="宋体"/>
          <w:b/>
          <w:sz w:val="52"/>
          <w:szCs w:val="52"/>
        </w:rPr>
      </w:pPr>
      <w:r>
        <w:rPr>
          <w:rFonts w:ascii="宋体" w:hAnsi="宋体" w:hint="eastAsia"/>
          <w:b/>
          <w:sz w:val="52"/>
          <w:szCs w:val="52"/>
        </w:rPr>
        <w:t>遵化碧桂园遵府</w:t>
      </w:r>
    </w:p>
    <w:p w14:paraId="0B57829A" w14:textId="77777777" w:rsidR="000B2A86" w:rsidRDefault="00B66DB0">
      <w:pPr>
        <w:snapToGrid w:val="0"/>
        <w:jc w:val="center"/>
        <w:rPr>
          <w:rFonts w:ascii="宋体" w:hAnsi="宋体"/>
          <w:b/>
          <w:sz w:val="36"/>
          <w:szCs w:val="36"/>
        </w:rPr>
      </w:pPr>
      <w:r>
        <w:rPr>
          <w:rFonts w:ascii="宋体" w:hAnsi="宋体" w:hint="eastAsia"/>
          <w:b/>
          <w:sz w:val="52"/>
          <w:szCs w:val="52"/>
        </w:rPr>
        <w:t>13#</w:t>
      </w:r>
      <w:r>
        <w:rPr>
          <w:rFonts w:ascii="宋体" w:hAnsi="宋体" w:hint="eastAsia"/>
          <w:b/>
          <w:sz w:val="52"/>
          <w:szCs w:val="52"/>
        </w:rPr>
        <w:t>、</w:t>
      </w:r>
      <w:r>
        <w:rPr>
          <w:rFonts w:ascii="宋体" w:hAnsi="宋体" w:hint="eastAsia"/>
          <w:b/>
          <w:sz w:val="52"/>
          <w:szCs w:val="52"/>
        </w:rPr>
        <w:t>14#</w:t>
      </w:r>
      <w:r>
        <w:rPr>
          <w:rFonts w:ascii="宋体" w:hAnsi="宋体" w:hint="eastAsia"/>
          <w:b/>
          <w:sz w:val="52"/>
          <w:szCs w:val="52"/>
        </w:rPr>
        <w:t>、</w:t>
      </w:r>
      <w:r>
        <w:rPr>
          <w:rFonts w:ascii="宋体" w:hAnsi="宋体" w:hint="eastAsia"/>
          <w:b/>
          <w:sz w:val="52"/>
          <w:szCs w:val="52"/>
        </w:rPr>
        <w:t>15#</w:t>
      </w:r>
      <w:r>
        <w:rPr>
          <w:rFonts w:ascii="宋体" w:hAnsi="宋体" w:hint="eastAsia"/>
          <w:b/>
          <w:sz w:val="52"/>
          <w:szCs w:val="52"/>
        </w:rPr>
        <w:t>、</w:t>
      </w:r>
      <w:r>
        <w:rPr>
          <w:rFonts w:ascii="宋体" w:hAnsi="宋体" w:hint="eastAsia"/>
          <w:b/>
          <w:sz w:val="52"/>
          <w:szCs w:val="52"/>
        </w:rPr>
        <w:t>20#</w:t>
      </w:r>
      <w:r>
        <w:rPr>
          <w:rFonts w:ascii="宋体" w:hAnsi="宋体" w:hint="eastAsia"/>
          <w:b/>
          <w:sz w:val="52"/>
          <w:szCs w:val="52"/>
        </w:rPr>
        <w:t>、</w:t>
      </w:r>
      <w:r>
        <w:rPr>
          <w:rFonts w:ascii="宋体" w:hAnsi="宋体" w:hint="eastAsia"/>
          <w:b/>
          <w:sz w:val="52"/>
          <w:szCs w:val="52"/>
        </w:rPr>
        <w:t>21#</w:t>
      </w:r>
      <w:r>
        <w:rPr>
          <w:rFonts w:ascii="宋体" w:hAnsi="宋体" w:hint="eastAsia"/>
          <w:b/>
          <w:sz w:val="52"/>
          <w:szCs w:val="52"/>
        </w:rPr>
        <w:t>楼工程</w:t>
      </w:r>
    </w:p>
    <w:p w14:paraId="373A09D0" w14:textId="77777777" w:rsidR="000B2A86" w:rsidRDefault="00B66DB0">
      <w:pPr>
        <w:snapToGrid w:val="0"/>
        <w:jc w:val="center"/>
        <w:rPr>
          <w:rFonts w:ascii="宋体" w:hAnsi="宋体"/>
          <w:b/>
          <w:sz w:val="52"/>
          <w:szCs w:val="52"/>
        </w:rPr>
      </w:pPr>
      <w:r>
        <w:rPr>
          <w:rFonts w:ascii="宋体" w:hAnsi="宋体" w:hint="eastAsia"/>
          <w:b/>
          <w:sz w:val="52"/>
          <w:szCs w:val="52"/>
        </w:rPr>
        <w:t>扬尘</w:t>
      </w:r>
      <w:r>
        <w:rPr>
          <w:rFonts w:ascii="宋体" w:hAnsi="宋体" w:hint="eastAsia"/>
          <w:b/>
          <w:sz w:val="52"/>
          <w:szCs w:val="52"/>
        </w:rPr>
        <w:t>治理</w:t>
      </w:r>
      <w:r>
        <w:rPr>
          <w:rFonts w:ascii="宋体" w:hAnsi="宋体" w:hint="eastAsia"/>
          <w:b/>
          <w:sz w:val="52"/>
          <w:szCs w:val="52"/>
        </w:rPr>
        <w:t>专项方案</w:t>
      </w:r>
    </w:p>
    <w:p w14:paraId="48974F6C" w14:textId="77777777" w:rsidR="000B2A86" w:rsidRDefault="000B2A86">
      <w:pPr>
        <w:snapToGrid w:val="0"/>
        <w:jc w:val="center"/>
        <w:rPr>
          <w:rFonts w:ascii="宋体" w:hAnsi="宋体"/>
          <w:b/>
          <w:sz w:val="52"/>
          <w:szCs w:val="52"/>
        </w:rPr>
      </w:pPr>
    </w:p>
    <w:p w14:paraId="6FCEBA6C" w14:textId="77777777" w:rsidR="000B2A86" w:rsidRDefault="00B66DB0">
      <w:pPr>
        <w:snapToGrid w:val="0"/>
        <w:rPr>
          <w:rFonts w:ascii="宋体" w:hAnsi="宋体"/>
          <w:b/>
          <w:sz w:val="52"/>
          <w:szCs w:val="52"/>
        </w:rPr>
      </w:pPr>
      <w:r>
        <w:rPr>
          <w:noProof/>
        </w:rPr>
        <w:drawing>
          <wp:inline distT="0" distB="0" distL="114300" distR="114300" wp14:anchorId="4AE0DD58" wp14:editId="2F986936">
            <wp:extent cx="5415915" cy="3924935"/>
            <wp:effectExtent l="0" t="0" r="13335" b="1841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5415915" cy="3924935"/>
                    </a:xfrm>
                    <a:prstGeom prst="rect">
                      <a:avLst/>
                    </a:prstGeom>
                    <a:noFill/>
                    <a:ln w="9525">
                      <a:noFill/>
                    </a:ln>
                  </pic:spPr>
                </pic:pic>
              </a:graphicData>
            </a:graphic>
          </wp:inline>
        </w:drawing>
      </w:r>
    </w:p>
    <w:p w14:paraId="68D2B96B" w14:textId="77777777" w:rsidR="000B2A86" w:rsidRDefault="000B2A86">
      <w:pPr>
        <w:snapToGrid w:val="0"/>
        <w:rPr>
          <w:sz w:val="28"/>
          <w:szCs w:val="28"/>
        </w:rPr>
      </w:pPr>
    </w:p>
    <w:p w14:paraId="77202532" w14:textId="77777777" w:rsidR="000B2A86" w:rsidRDefault="000B2A86">
      <w:pPr>
        <w:snapToGrid w:val="0"/>
        <w:jc w:val="center"/>
        <w:rPr>
          <w:rFonts w:ascii="宋体" w:hAnsi="宋体"/>
          <w:sz w:val="52"/>
          <w:szCs w:val="52"/>
        </w:rPr>
      </w:pPr>
    </w:p>
    <w:p w14:paraId="273FDB83" w14:textId="77777777" w:rsidR="000B2A86" w:rsidRDefault="00B66DB0">
      <w:pPr>
        <w:jc w:val="center"/>
        <w:rPr>
          <w:rFonts w:ascii="仿宋" w:eastAsia="仿宋" w:hAnsi="仿宋"/>
          <w:color w:val="000000"/>
          <w:sz w:val="36"/>
        </w:rPr>
      </w:pPr>
      <w:r>
        <w:rPr>
          <w:rFonts w:ascii="仿宋" w:eastAsia="仿宋" w:hAnsi="仿宋"/>
          <w:color w:val="000000"/>
          <w:sz w:val="36"/>
        </w:rPr>
        <w:t>中冶天工集团有限公司</w:t>
      </w:r>
      <w:r>
        <w:rPr>
          <w:rFonts w:ascii="仿宋" w:eastAsia="仿宋" w:hAnsi="仿宋" w:hint="eastAsia"/>
          <w:color w:val="000000"/>
          <w:sz w:val="36"/>
        </w:rPr>
        <w:t xml:space="preserve">  </w:t>
      </w:r>
    </w:p>
    <w:p w14:paraId="57D4FD3E" w14:textId="77777777" w:rsidR="000B2A86" w:rsidRDefault="00B66DB0">
      <w:pPr>
        <w:jc w:val="center"/>
        <w:rPr>
          <w:rFonts w:ascii="仿宋" w:eastAsia="仿宋" w:hAnsi="仿宋"/>
          <w:color w:val="000000"/>
          <w:sz w:val="32"/>
        </w:rPr>
      </w:pPr>
      <w:r>
        <w:rPr>
          <w:rFonts w:ascii="仿宋" w:eastAsia="仿宋" w:hAnsi="仿宋" w:hint="eastAsia"/>
          <w:color w:val="000000"/>
          <w:sz w:val="32"/>
        </w:rPr>
        <w:t>遵化碧桂园遵府</w:t>
      </w:r>
      <w:r>
        <w:rPr>
          <w:rFonts w:ascii="仿宋" w:eastAsia="仿宋" w:hAnsi="仿宋" w:hint="eastAsia"/>
          <w:color w:val="000000"/>
          <w:sz w:val="32"/>
        </w:rPr>
        <w:t>13#</w:t>
      </w:r>
      <w:r>
        <w:rPr>
          <w:rFonts w:ascii="仿宋" w:eastAsia="仿宋" w:hAnsi="仿宋" w:hint="eastAsia"/>
          <w:color w:val="000000"/>
          <w:sz w:val="32"/>
        </w:rPr>
        <w:t>、</w:t>
      </w:r>
      <w:r>
        <w:rPr>
          <w:rFonts w:ascii="仿宋" w:eastAsia="仿宋" w:hAnsi="仿宋" w:hint="eastAsia"/>
          <w:color w:val="000000"/>
          <w:sz w:val="32"/>
        </w:rPr>
        <w:t>14#</w:t>
      </w:r>
      <w:r>
        <w:rPr>
          <w:rFonts w:ascii="仿宋" w:eastAsia="仿宋" w:hAnsi="仿宋" w:hint="eastAsia"/>
          <w:color w:val="000000"/>
          <w:sz w:val="32"/>
        </w:rPr>
        <w:t>、</w:t>
      </w:r>
      <w:r>
        <w:rPr>
          <w:rFonts w:ascii="仿宋" w:eastAsia="仿宋" w:hAnsi="仿宋" w:hint="eastAsia"/>
          <w:color w:val="000000"/>
          <w:sz w:val="32"/>
        </w:rPr>
        <w:t>15#</w:t>
      </w:r>
      <w:r>
        <w:rPr>
          <w:rFonts w:ascii="仿宋" w:eastAsia="仿宋" w:hAnsi="仿宋" w:hint="eastAsia"/>
          <w:color w:val="000000"/>
          <w:sz w:val="32"/>
        </w:rPr>
        <w:t>、</w:t>
      </w:r>
      <w:r>
        <w:rPr>
          <w:rFonts w:ascii="仿宋" w:eastAsia="仿宋" w:hAnsi="仿宋" w:hint="eastAsia"/>
          <w:color w:val="000000"/>
          <w:sz w:val="32"/>
        </w:rPr>
        <w:t>20#</w:t>
      </w:r>
      <w:r>
        <w:rPr>
          <w:rFonts w:ascii="仿宋" w:eastAsia="仿宋" w:hAnsi="仿宋" w:hint="eastAsia"/>
          <w:color w:val="000000"/>
          <w:sz w:val="32"/>
        </w:rPr>
        <w:t>、</w:t>
      </w:r>
      <w:r>
        <w:rPr>
          <w:rFonts w:ascii="仿宋" w:eastAsia="仿宋" w:hAnsi="仿宋" w:hint="eastAsia"/>
          <w:color w:val="000000"/>
          <w:sz w:val="32"/>
        </w:rPr>
        <w:t>21#</w:t>
      </w:r>
      <w:r>
        <w:rPr>
          <w:rFonts w:ascii="仿宋" w:eastAsia="仿宋" w:hAnsi="仿宋" w:hint="eastAsia"/>
          <w:color w:val="000000"/>
          <w:sz w:val="32"/>
        </w:rPr>
        <w:t>楼</w:t>
      </w:r>
      <w:r>
        <w:rPr>
          <w:rFonts w:ascii="仿宋" w:eastAsia="仿宋" w:hAnsi="仿宋"/>
          <w:color w:val="000000"/>
          <w:sz w:val="32"/>
        </w:rPr>
        <w:t>工程项目经理部</w:t>
      </w:r>
    </w:p>
    <w:p w14:paraId="21040665" w14:textId="77777777" w:rsidR="000B2A86" w:rsidRDefault="00B66DB0">
      <w:pPr>
        <w:jc w:val="center"/>
        <w:rPr>
          <w:rFonts w:ascii="仿宋" w:eastAsia="仿宋" w:hAnsi="仿宋"/>
          <w:color w:val="000000"/>
          <w:sz w:val="32"/>
        </w:rPr>
      </w:pPr>
      <w:r>
        <w:rPr>
          <w:rFonts w:ascii="仿宋" w:eastAsia="仿宋" w:hAnsi="仿宋" w:hint="eastAsia"/>
          <w:color w:val="000000"/>
          <w:sz w:val="32"/>
        </w:rPr>
        <w:t>2017</w:t>
      </w:r>
      <w:r>
        <w:rPr>
          <w:rFonts w:ascii="仿宋" w:eastAsia="仿宋" w:hAnsi="仿宋"/>
          <w:color w:val="000000"/>
          <w:sz w:val="32"/>
        </w:rPr>
        <w:t>年</w:t>
      </w:r>
      <w:r>
        <w:rPr>
          <w:rFonts w:ascii="仿宋" w:eastAsia="仿宋" w:hAnsi="仿宋" w:hint="eastAsia"/>
          <w:color w:val="000000"/>
          <w:sz w:val="32"/>
        </w:rPr>
        <w:t xml:space="preserve"> 10 </w:t>
      </w:r>
      <w:r>
        <w:rPr>
          <w:rFonts w:ascii="仿宋" w:eastAsia="仿宋" w:hAnsi="仿宋"/>
          <w:color w:val="000000"/>
          <w:sz w:val="32"/>
        </w:rPr>
        <w:t>月</w:t>
      </w:r>
      <w:r>
        <w:rPr>
          <w:rFonts w:ascii="仿宋" w:eastAsia="仿宋" w:hAnsi="仿宋" w:hint="eastAsia"/>
          <w:color w:val="000000"/>
          <w:sz w:val="32"/>
        </w:rPr>
        <w:t xml:space="preserve"> 9 </w:t>
      </w:r>
      <w:r>
        <w:rPr>
          <w:rFonts w:ascii="仿宋" w:eastAsia="仿宋" w:hAnsi="仿宋"/>
          <w:color w:val="000000"/>
          <w:sz w:val="32"/>
        </w:rPr>
        <w:t>日</w:t>
      </w:r>
    </w:p>
    <w:p w14:paraId="3276267C" w14:textId="77777777" w:rsidR="000B2A86" w:rsidRDefault="000B2A86">
      <w:pPr>
        <w:jc w:val="center"/>
        <w:rPr>
          <w:rFonts w:ascii="仿宋" w:eastAsia="仿宋" w:hAnsi="仿宋"/>
          <w:color w:val="000000"/>
          <w:sz w:val="32"/>
        </w:rPr>
      </w:pPr>
    </w:p>
    <w:p w14:paraId="79AF3C0F" w14:textId="77777777" w:rsidR="000B2A86" w:rsidRDefault="000B2A86">
      <w:pPr>
        <w:jc w:val="center"/>
        <w:rPr>
          <w:rFonts w:ascii="仿宋" w:eastAsia="仿宋" w:hAnsi="仿宋"/>
          <w:color w:val="000000"/>
          <w:sz w:val="32"/>
        </w:rPr>
      </w:pPr>
    </w:p>
    <w:p w14:paraId="52A0038F" w14:textId="77777777" w:rsidR="000B2A86" w:rsidRDefault="00B66DB0">
      <w:pPr>
        <w:jc w:val="center"/>
        <w:rPr>
          <w:rFonts w:ascii="仿宋" w:eastAsia="仿宋" w:hAnsi="仿宋"/>
          <w:b/>
          <w:sz w:val="36"/>
          <w:szCs w:val="28"/>
        </w:rPr>
      </w:pPr>
      <w:r>
        <w:rPr>
          <w:rFonts w:ascii="仿宋" w:eastAsia="仿宋" w:hAnsi="仿宋" w:hint="eastAsia"/>
          <w:b/>
          <w:sz w:val="36"/>
        </w:rPr>
        <w:lastRenderedPageBreak/>
        <w:t>目录</w:t>
      </w:r>
    </w:p>
    <w:p w14:paraId="5FB56561" w14:textId="77777777" w:rsidR="000B2A86" w:rsidRDefault="00B66DB0">
      <w:pPr>
        <w:pStyle w:val="TOC1"/>
        <w:tabs>
          <w:tab w:val="right" w:leader="dot" w:pos="8618"/>
        </w:tabs>
      </w:pPr>
      <w:r>
        <w:rPr>
          <w:rFonts w:ascii="仿宋" w:eastAsia="仿宋" w:hAnsi="仿宋"/>
          <w:szCs w:val="28"/>
        </w:rPr>
        <w:fldChar w:fldCharType="begin"/>
      </w:r>
      <w:r>
        <w:rPr>
          <w:rFonts w:ascii="仿宋" w:eastAsia="仿宋" w:hAnsi="仿宋"/>
          <w:szCs w:val="28"/>
        </w:rPr>
        <w:instrText xml:space="preserve"> TOC \o "1-2" \h \z \u </w:instrText>
      </w:r>
      <w:r>
        <w:rPr>
          <w:rFonts w:ascii="仿宋" w:eastAsia="仿宋" w:hAnsi="仿宋"/>
          <w:szCs w:val="28"/>
        </w:rPr>
        <w:fldChar w:fldCharType="separate"/>
      </w:r>
      <w:hyperlink w:anchor="_Toc14920" w:history="1">
        <w:r>
          <w:rPr>
            <w:rFonts w:hint="eastAsia"/>
          </w:rPr>
          <w:t xml:space="preserve">1 </w:t>
        </w:r>
        <w:r>
          <w:rPr>
            <w:rFonts w:hint="eastAsia"/>
          </w:rPr>
          <w:t>编制依据</w:t>
        </w:r>
        <w:r>
          <w:tab/>
        </w:r>
        <w:r>
          <w:fldChar w:fldCharType="begin"/>
        </w:r>
        <w:r>
          <w:instrText xml:space="preserve"> PAGEREF _Toc14920 </w:instrText>
        </w:r>
        <w:r>
          <w:fldChar w:fldCharType="separate"/>
        </w:r>
        <w:r>
          <w:t>1</w:t>
        </w:r>
        <w:r>
          <w:fldChar w:fldCharType="end"/>
        </w:r>
      </w:hyperlink>
    </w:p>
    <w:p w14:paraId="4CFF31AC" w14:textId="77777777" w:rsidR="000B2A86" w:rsidRDefault="00B66DB0">
      <w:pPr>
        <w:pStyle w:val="TOC2"/>
        <w:tabs>
          <w:tab w:val="right" w:leader="dot" w:pos="8618"/>
        </w:tabs>
      </w:pPr>
      <w:hyperlink w:anchor="_Toc14446" w:history="1">
        <w:r>
          <w:rPr>
            <w:rFonts w:hint="eastAsia"/>
          </w:rPr>
          <w:t>1.1</w:t>
        </w:r>
        <w:r>
          <w:rPr>
            <w:rFonts w:hint="eastAsia"/>
          </w:rPr>
          <w:t>施工组织设计及方案</w:t>
        </w:r>
        <w:r>
          <w:tab/>
        </w:r>
        <w:r>
          <w:fldChar w:fldCharType="begin"/>
        </w:r>
        <w:r>
          <w:instrText xml:space="preserve"> PAGEREF _Toc14446 </w:instrText>
        </w:r>
        <w:r>
          <w:fldChar w:fldCharType="separate"/>
        </w:r>
        <w:r>
          <w:t>1</w:t>
        </w:r>
        <w:r>
          <w:fldChar w:fldCharType="end"/>
        </w:r>
      </w:hyperlink>
    </w:p>
    <w:p w14:paraId="752181DA" w14:textId="77777777" w:rsidR="000B2A86" w:rsidRDefault="00B66DB0">
      <w:pPr>
        <w:pStyle w:val="TOC2"/>
        <w:tabs>
          <w:tab w:val="right" w:leader="dot" w:pos="8618"/>
        </w:tabs>
      </w:pPr>
      <w:hyperlink w:anchor="_Toc13052" w:history="1">
        <w:r>
          <w:rPr>
            <w:rFonts w:hint="eastAsia"/>
          </w:rPr>
          <w:t>1.2</w:t>
        </w:r>
        <w:r>
          <w:rPr>
            <w:rFonts w:hint="eastAsia"/>
          </w:rPr>
          <w:t>主要法规、标准</w:t>
        </w:r>
        <w:r>
          <w:tab/>
        </w:r>
        <w:r>
          <w:fldChar w:fldCharType="begin"/>
        </w:r>
        <w:r>
          <w:instrText xml:space="preserve"> PAGEREF _Toc13052 </w:instrText>
        </w:r>
        <w:r>
          <w:fldChar w:fldCharType="separate"/>
        </w:r>
        <w:r>
          <w:t>1</w:t>
        </w:r>
        <w:r>
          <w:fldChar w:fldCharType="end"/>
        </w:r>
      </w:hyperlink>
    </w:p>
    <w:p w14:paraId="217F7764" w14:textId="77777777" w:rsidR="000B2A86" w:rsidRDefault="00B66DB0">
      <w:pPr>
        <w:pStyle w:val="TOC1"/>
        <w:tabs>
          <w:tab w:val="right" w:leader="dot" w:pos="8618"/>
        </w:tabs>
      </w:pPr>
      <w:hyperlink w:anchor="_Toc16964" w:history="1">
        <w:r>
          <w:rPr>
            <w:rFonts w:hint="eastAsia"/>
          </w:rPr>
          <w:t>2</w:t>
        </w:r>
        <w:r>
          <w:rPr>
            <w:rFonts w:hint="eastAsia"/>
          </w:rPr>
          <w:t>、工程概况</w:t>
        </w:r>
        <w:r>
          <w:tab/>
        </w:r>
        <w:r>
          <w:fldChar w:fldCharType="begin"/>
        </w:r>
        <w:r>
          <w:instrText xml:space="preserve"> PAGEREF _Toc16964 </w:instrText>
        </w:r>
        <w:r>
          <w:fldChar w:fldCharType="separate"/>
        </w:r>
        <w:r>
          <w:t>1</w:t>
        </w:r>
        <w:r>
          <w:fldChar w:fldCharType="end"/>
        </w:r>
      </w:hyperlink>
    </w:p>
    <w:p w14:paraId="32140016" w14:textId="77777777" w:rsidR="000B2A86" w:rsidRDefault="00B66DB0">
      <w:pPr>
        <w:pStyle w:val="TOC2"/>
        <w:tabs>
          <w:tab w:val="right" w:leader="dot" w:pos="8618"/>
        </w:tabs>
      </w:pPr>
      <w:hyperlink w:anchor="_Toc15809" w:history="1">
        <w:r>
          <w:rPr>
            <w:rFonts w:hint="eastAsia"/>
          </w:rPr>
          <w:t>2.</w:t>
        </w:r>
        <w:r>
          <w:rPr>
            <w:rFonts w:hint="eastAsia"/>
          </w:rPr>
          <w:t>1</w:t>
        </w:r>
        <w:r>
          <w:rPr>
            <w:rFonts w:hint="eastAsia"/>
          </w:rPr>
          <w:t>工程规模</w:t>
        </w:r>
        <w:r>
          <w:tab/>
        </w:r>
        <w:r>
          <w:fldChar w:fldCharType="begin"/>
        </w:r>
        <w:r>
          <w:instrText xml:space="preserve"> PAGEREF _Toc15809 </w:instrText>
        </w:r>
        <w:r>
          <w:fldChar w:fldCharType="separate"/>
        </w:r>
        <w:r>
          <w:t>1</w:t>
        </w:r>
        <w:r>
          <w:fldChar w:fldCharType="end"/>
        </w:r>
      </w:hyperlink>
    </w:p>
    <w:p w14:paraId="44540DC7" w14:textId="77777777" w:rsidR="000B2A86" w:rsidRDefault="00B66DB0">
      <w:pPr>
        <w:pStyle w:val="TOC2"/>
        <w:tabs>
          <w:tab w:val="right" w:leader="dot" w:pos="8618"/>
        </w:tabs>
      </w:pPr>
      <w:hyperlink w:anchor="_Toc7355" w:history="1">
        <w:r>
          <w:rPr>
            <w:rFonts w:hint="eastAsia"/>
          </w:rPr>
          <w:t>2.3</w:t>
        </w:r>
        <w:r>
          <w:rPr>
            <w:rFonts w:hint="eastAsia"/>
          </w:rPr>
          <w:t>五方责任主体</w:t>
        </w:r>
        <w:r>
          <w:tab/>
        </w:r>
        <w:r>
          <w:fldChar w:fldCharType="begin"/>
        </w:r>
        <w:r>
          <w:instrText xml:space="preserve"> PAGEREF _Toc7355 </w:instrText>
        </w:r>
        <w:r>
          <w:fldChar w:fldCharType="separate"/>
        </w:r>
        <w:r>
          <w:t>3</w:t>
        </w:r>
        <w:r>
          <w:fldChar w:fldCharType="end"/>
        </w:r>
      </w:hyperlink>
    </w:p>
    <w:p w14:paraId="67A17790" w14:textId="77777777" w:rsidR="000B2A86" w:rsidRDefault="00B66DB0">
      <w:pPr>
        <w:pStyle w:val="TOC1"/>
        <w:tabs>
          <w:tab w:val="right" w:leader="dot" w:pos="8618"/>
        </w:tabs>
      </w:pPr>
      <w:hyperlink w:anchor="_Toc25384" w:history="1">
        <w:r>
          <w:rPr>
            <w:rFonts w:hint="eastAsia"/>
          </w:rPr>
          <w:t>3</w:t>
        </w:r>
        <w:r>
          <w:rPr>
            <w:rFonts w:hint="eastAsia"/>
          </w:rPr>
          <w:t>、组织管理</w:t>
        </w:r>
        <w:r>
          <w:tab/>
        </w:r>
        <w:r>
          <w:fldChar w:fldCharType="begin"/>
        </w:r>
        <w:r>
          <w:instrText xml:space="preserve"> PAGEREF _Toc25384 </w:instrText>
        </w:r>
        <w:r>
          <w:fldChar w:fldCharType="separate"/>
        </w:r>
        <w:r>
          <w:t>3</w:t>
        </w:r>
        <w:r>
          <w:fldChar w:fldCharType="end"/>
        </w:r>
      </w:hyperlink>
    </w:p>
    <w:p w14:paraId="3874BB36" w14:textId="77777777" w:rsidR="000B2A86" w:rsidRDefault="00B66DB0">
      <w:pPr>
        <w:pStyle w:val="TOC1"/>
        <w:tabs>
          <w:tab w:val="right" w:leader="dot" w:pos="8618"/>
        </w:tabs>
      </w:pPr>
      <w:hyperlink w:anchor="_Toc7878" w:history="1">
        <w:r>
          <w:rPr>
            <w:rFonts w:hint="eastAsia"/>
          </w:rPr>
          <w:t>4</w:t>
        </w:r>
        <w:r>
          <w:rPr>
            <w:rFonts w:hint="eastAsia"/>
          </w:rPr>
          <w:t>、扬尘控制目标</w:t>
        </w:r>
        <w:r>
          <w:tab/>
        </w:r>
        <w:r>
          <w:fldChar w:fldCharType="begin"/>
        </w:r>
        <w:r>
          <w:instrText xml:space="preserve"> PAGEREF _Toc7878 </w:instrText>
        </w:r>
        <w:r>
          <w:fldChar w:fldCharType="separate"/>
        </w:r>
        <w:r>
          <w:t>4</w:t>
        </w:r>
        <w:r>
          <w:fldChar w:fldCharType="end"/>
        </w:r>
      </w:hyperlink>
    </w:p>
    <w:p w14:paraId="713ECFAB" w14:textId="77777777" w:rsidR="000B2A86" w:rsidRDefault="00B66DB0">
      <w:pPr>
        <w:pStyle w:val="TOC1"/>
        <w:tabs>
          <w:tab w:val="right" w:leader="dot" w:pos="8618"/>
        </w:tabs>
      </w:pPr>
      <w:hyperlink w:anchor="_Toc21616" w:history="1">
        <w:r>
          <w:rPr>
            <w:rFonts w:hint="eastAsia"/>
          </w:rPr>
          <w:t>5</w:t>
        </w:r>
        <w:r>
          <w:rPr>
            <w:rFonts w:hint="eastAsia"/>
          </w:rPr>
          <w:t>、管理措施及标准</w:t>
        </w:r>
        <w:r>
          <w:tab/>
        </w:r>
        <w:r>
          <w:fldChar w:fldCharType="begin"/>
        </w:r>
        <w:r>
          <w:instrText xml:space="preserve"> PAGEREF _Toc21616 </w:instrText>
        </w:r>
        <w:r>
          <w:fldChar w:fldCharType="separate"/>
        </w:r>
        <w:r>
          <w:t>5</w:t>
        </w:r>
        <w:r>
          <w:fldChar w:fldCharType="end"/>
        </w:r>
      </w:hyperlink>
    </w:p>
    <w:p w14:paraId="11B1D726" w14:textId="77777777" w:rsidR="000B2A86" w:rsidRDefault="00B66DB0">
      <w:pPr>
        <w:pStyle w:val="TOC2"/>
        <w:tabs>
          <w:tab w:val="right" w:leader="dot" w:pos="8618"/>
        </w:tabs>
      </w:pPr>
      <w:hyperlink w:anchor="_Toc31313" w:history="1">
        <w:r>
          <w:rPr>
            <w:rFonts w:hint="eastAsia"/>
          </w:rPr>
          <w:t>5.1</w:t>
        </w:r>
        <w:r>
          <w:rPr>
            <w:rFonts w:hint="eastAsia"/>
          </w:rPr>
          <w:t>工地围挡</w:t>
        </w:r>
        <w:r>
          <w:tab/>
        </w:r>
        <w:r>
          <w:fldChar w:fldCharType="begin"/>
        </w:r>
        <w:r>
          <w:instrText xml:space="preserve"> PAGEREF _Toc31313 </w:instrText>
        </w:r>
        <w:r>
          <w:fldChar w:fldCharType="separate"/>
        </w:r>
        <w:r>
          <w:t>5</w:t>
        </w:r>
        <w:r>
          <w:fldChar w:fldCharType="end"/>
        </w:r>
      </w:hyperlink>
    </w:p>
    <w:p w14:paraId="6E978260" w14:textId="77777777" w:rsidR="000B2A86" w:rsidRDefault="00B66DB0">
      <w:pPr>
        <w:pStyle w:val="TOC2"/>
        <w:tabs>
          <w:tab w:val="right" w:leader="dot" w:pos="8618"/>
        </w:tabs>
      </w:pPr>
      <w:hyperlink w:anchor="_Toc29376" w:history="1">
        <w:r>
          <w:rPr>
            <w:rFonts w:hint="eastAsia"/>
          </w:rPr>
          <w:t>5.2</w:t>
        </w:r>
        <w:r>
          <w:rPr>
            <w:rFonts w:hint="eastAsia"/>
          </w:rPr>
          <w:t>现场主要道路</w:t>
        </w:r>
        <w:r>
          <w:tab/>
        </w:r>
        <w:r>
          <w:fldChar w:fldCharType="begin"/>
        </w:r>
        <w:r>
          <w:instrText xml:space="preserve"> PAGEREF _Toc29376 </w:instrText>
        </w:r>
        <w:r>
          <w:fldChar w:fldCharType="separate"/>
        </w:r>
        <w:r>
          <w:t>5</w:t>
        </w:r>
        <w:r>
          <w:fldChar w:fldCharType="end"/>
        </w:r>
      </w:hyperlink>
    </w:p>
    <w:p w14:paraId="45719835" w14:textId="77777777" w:rsidR="000B2A86" w:rsidRDefault="00B66DB0">
      <w:pPr>
        <w:pStyle w:val="TOC2"/>
        <w:tabs>
          <w:tab w:val="right" w:leader="dot" w:pos="8618"/>
        </w:tabs>
      </w:pPr>
      <w:hyperlink w:anchor="_Toc20274" w:history="1">
        <w:r>
          <w:rPr>
            <w:rFonts w:hint="eastAsia"/>
          </w:rPr>
          <w:t>5.3</w:t>
        </w:r>
        <w:r>
          <w:rPr>
            <w:rFonts w:hint="eastAsia"/>
          </w:rPr>
          <w:t>现场扬尘监测设备</w:t>
        </w:r>
        <w:r>
          <w:tab/>
        </w:r>
        <w:r>
          <w:fldChar w:fldCharType="begin"/>
        </w:r>
        <w:r>
          <w:instrText xml:space="preserve"> PAGEREF _Toc20274 </w:instrText>
        </w:r>
        <w:r>
          <w:fldChar w:fldCharType="separate"/>
        </w:r>
        <w:r>
          <w:t>5</w:t>
        </w:r>
        <w:r>
          <w:fldChar w:fldCharType="end"/>
        </w:r>
      </w:hyperlink>
    </w:p>
    <w:p w14:paraId="31E9027F" w14:textId="77777777" w:rsidR="000B2A86" w:rsidRDefault="00B66DB0">
      <w:pPr>
        <w:pStyle w:val="TOC2"/>
        <w:tabs>
          <w:tab w:val="right" w:leader="dot" w:pos="8618"/>
        </w:tabs>
      </w:pPr>
      <w:hyperlink w:anchor="_Toc7373" w:history="1">
        <w:r>
          <w:rPr>
            <w:rFonts w:hint="eastAsia"/>
          </w:rPr>
          <w:t>5.4</w:t>
        </w:r>
        <w:r>
          <w:rPr>
            <w:rFonts w:hint="eastAsia"/>
          </w:rPr>
          <w:t>工地物料码放、散体材料堆放</w:t>
        </w:r>
        <w:r>
          <w:tab/>
        </w:r>
        <w:r>
          <w:fldChar w:fldCharType="begin"/>
        </w:r>
        <w:r>
          <w:instrText xml:space="preserve"> PAGEREF _Toc7373 </w:instrText>
        </w:r>
        <w:r>
          <w:fldChar w:fldCharType="separate"/>
        </w:r>
        <w:r>
          <w:t>6</w:t>
        </w:r>
        <w:r>
          <w:fldChar w:fldCharType="end"/>
        </w:r>
      </w:hyperlink>
    </w:p>
    <w:p w14:paraId="5311826D" w14:textId="77777777" w:rsidR="000B2A86" w:rsidRDefault="00B66DB0">
      <w:pPr>
        <w:pStyle w:val="TOC2"/>
        <w:tabs>
          <w:tab w:val="right" w:leader="dot" w:pos="8618"/>
        </w:tabs>
      </w:pPr>
      <w:hyperlink w:anchor="_Toc11927" w:history="1">
        <w:r>
          <w:rPr>
            <w:rFonts w:hint="eastAsia"/>
          </w:rPr>
          <w:t>5.5</w:t>
        </w:r>
        <w:r>
          <w:rPr>
            <w:rFonts w:hint="eastAsia"/>
          </w:rPr>
          <w:t>木工作业</w:t>
        </w:r>
        <w:r>
          <w:tab/>
        </w:r>
        <w:r>
          <w:fldChar w:fldCharType="begin"/>
        </w:r>
        <w:r>
          <w:instrText xml:space="preserve"> PAGEREF _Toc11927 </w:instrText>
        </w:r>
        <w:r>
          <w:fldChar w:fldCharType="separate"/>
        </w:r>
        <w:r>
          <w:t>6</w:t>
        </w:r>
        <w:r>
          <w:fldChar w:fldCharType="end"/>
        </w:r>
      </w:hyperlink>
    </w:p>
    <w:p w14:paraId="61C56397" w14:textId="77777777" w:rsidR="000B2A86" w:rsidRDefault="00B66DB0">
      <w:pPr>
        <w:pStyle w:val="TOC2"/>
        <w:tabs>
          <w:tab w:val="right" w:leader="dot" w:pos="8618"/>
        </w:tabs>
      </w:pPr>
      <w:hyperlink w:anchor="_Toc24348" w:history="1">
        <w:r>
          <w:rPr>
            <w:rFonts w:hint="eastAsia"/>
          </w:rPr>
          <w:t>5.6</w:t>
        </w:r>
        <w:r>
          <w:rPr>
            <w:rFonts w:hint="eastAsia"/>
          </w:rPr>
          <w:t>工地出入口标准</w:t>
        </w:r>
        <w:r>
          <w:tab/>
        </w:r>
        <w:r>
          <w:fldChar w:fldCharType="begin"/>
        </w:r>
        <w:r>
          <w:instrText xml:space="preserve"> PAGEREF _Toc24348 </w:instrText>
        </w:r>
        <w:r>
          <w:fldChar w:fldCharType="separate"/>
        </w:r>
        <w:r>
          <w:t>7</w:t>
        </w:r>
        <w:r>
          <w:fldChar w:fldCharType="end"/>
        </w:r>
      </w:hyperlink>
    </w:p>
    <w:p w14:paraId="6C8A8972" w14:textId="77777777" w:rsidR="000B2A86" w:rsidRDefault="00B66DB0">
      <w:pPr>
        <w:pStyle w:val="TOC2"/>
        <w:tabs>
          <w:tab w:val="right" w:leader="dot" w:pos="8618"/>
        </w:tabs>
      </w:pPr>
      <w:hyperlink w:anchor="_Toc23250" w:history="1">
        <w:r>
          <w:rPr>
            <w:rFonts w:hint="eastAsia"/>
          </w:rPr>
          <w:t>5.7</w:t>
        </w:r>
        <w:r>
          <w:rPr>
            <w:rFonts w:hint="eastAsia"/>
          </w:rPr>
          <w:t>建筑立面密目网封闭标准</w:t>
        </w:r>
        <w:r>
          <w:tab/>
        </w:r>
        <w:r>
          <w:fldChar w:fldCharType="begin"/>
        </w:r>
        <w:r>
          <w:instrText xml:space="preserve"> PAGEREF _Toc23250 </w:instrText>
        </w:r>
        <w:r>
          <w:fldChar w:fldCharType="separate"/>
        </w:r>
        <w:r>
          <w:t>7</w:t>
        </w:r>
        <w:r>
          <w:fldChar w:fldCharType="end"/>
        </w:r>
      </w:hyperlink>
    </w:p>
    <w:p w14:paraId="19C7C258" w14:textId="77777777" w:rsidR="000B2A86" w:rsidRDefault="00B66DB0">
      <w:pPr>
        <w:pStyle w:val="TOC2"/>
        <w:tabs>
          <w:tab w:val="right" w:leader="dot" w:pos="8618"/>
        </w:tabs>
      </w:pPr>
      <w:hyperlink w:anchor="_Toc17163" w:history="1">
        <w:r>
          <w:rPr>
            <w:rFonts w:hint="eastAsia"/>
          </w:rPr>
          <w:t>5.8</w:t>
        </w:r>
        <w:r>
          <w:rPr>
            <w:rFonts w:hint="eastAsia"/>
          </w:rPr>
          <w:t>工程渣土运输</w:t>
        </w:r>
        <w:r>
          <w:tab/>
        </w:r>
        <w:r>
          <w:fldChar w:fldCharType="begin"/>
        </w:r>
        <w:r>
          <w:instrText xml:space="preserve"> PAGEREF _Toc17163 </w:instrText>
        </w:r>
        <w:r>
          <w:fldChar w:fldCharType="separate"/>
        </w:r>
        <w:r>
          <w:t>7</w:t>
        </w:r>
        <w:r>
          <w:fldChar w:fldCharType="end"/>
        </w:r>
      </w:hyperlink>
    </w:p>
    <w:p w14:paraId="1F775B0D" w14:textId="77777777" w:rsidR="000B2A86" w:rsidRDefault="00B66DB0">
      <w:pPr>
        <w:pStyle w:val="TOC2"/>
        <w:tabs>
          <w:tab w:val="right" w:leader="dot" w:pos="8618"/>
        </w:tabs>
      </w:pPr>
      <w:hyperlink w:anchor="_Toc11968" w:history="1">
        <w:r>
          <w:rPr>
            <w:rFonts w:hint="eastAsia"/>
          </w:rPr>
          <w:t>5.9</w:t>
        </w:r>
        <w:r>
          <w:rPr>
            <w:rFonts w:hint="eastAsia"/>
          </w:rPr>
          <w:t>建筑垃圾清运</w:t>
        </w:r>
        <w:r>
          <w:tab/>
        </w:r>
        <w:r>
          <w:fldChar w:fldCharType="begin"/>
        </w:r>
        <w:r>
          <w:instrText xml:space="preserve"> PAGER</w:instrText>
        </w:r>
        <w:r>
          <w:instrText xml:space="preserve">EF _Toc11968 </w:instrText>
        </w:r>
        <w:r>
          <w:fldChar w:fldCharType="separate"/>
        </w:r>
        <w:r>
          <w:t>9</w:t>
        </w:r>
        <w:r>
          <w:fldChar w:fldCharType="end"/>
        </w:r>
      </w:hyperlink>
    </w:p>
    <w:p w14:paraId="40ECB439" w14:textId="77777777" w:rsidR="000B2A86" w:rsidRDefault="00B66DB0">
      <w:pPr>
        <w:pStyle w:val="TOC2"/>
        <w:tabs>
          <w:tab w:val="right" w:leader="dot" w:pos="8618"/>
        </w:tabs>
      </w:pPr>
      <w:hyperlink w:anchor="_Toc6963" w:history="1">
        <w:r>
          <w:rPr>
            <w:rFonts w:ascii="仿宋" w:hAnsi="仿宋" w:hint="eastAsia"/>
          </w:rPr>
          <w:t>5.10</w:t>
        </w:r>
        <w:r>
          <w:rPr>
            <w:rFonts w:hint="eastAsia"/>
          </w:rPr>
          <w:t>装饰施工阶段管理</w:t>
        </w:r>
        <w:r>
          <w:tab/>
        </w:r>
        <w:r>
          <w:fldChar w:fldCharType="begin"/>
        </w:r>
        <w:r>
          <w:instrText xml:space="preserve"> PAGEREF _Toc6963 </w:instrText>
        </w:r>
        <w:r>
          <w:fldChar w:fldCharType="separate"/>
        </w:r>
        <w:r>
          <w:t>9</w:t>
        </w:r>
        <w:r>
          <w:fldChar w:fldCharType="end"/>
        </w:r>
      </w:hyperlink>
    </w:p>
    <w:p w14:paraId="53CAD8E1" w14:textId="77777777" w:rsidR="000B2A86" w:rsidRDefault="00B66DB0">
      <w:pPr>
        <w:pStyle w:val="TOC2"/>
        <w:tabs>
          <w:tab w:val="right" w:leader="dot" w:pos="8618"/>
        </w:tabs>
      </w:pPr>
      <w:hyperlink w:anchor="_Toc12565" w:history="1">
        <w:r>
          <w:rPr>
            <w:rFonts w:hint="eastAsia"/>
          </w:rPr>
          <w:t>5.11</w:t>
        </w:r>
        <w:r>
          <w:rPr>
            <w:rFonts w:hint="eastAsia"/>
          </w:rPr>
          <w:t>其他要求</w:t>
        </w:r>
        <w:r>
          <w:tab/>
        </w:r>
        <w:r>
          <w:fldChar w:fldCharType="begin"/>
        </w:r>
        <w:r>
          <w:instrText xml:space="preserve"> PAGEREF _Toc12565 </w:instrText>
        </w:r>
        <w:r>
          <w:fldChar w:fldCharType="separate"/>
        </w:r>
        <w:r>
          <w:t>10</w:t>
        </w:r>
        <w:r>
          <w:fldChar w:fldCharType="end"/>
        </w:r>
      </w:hyperlink>
    </w:p>
    <w:p w14:paraId="27EF1857" w14:textId="77777777" w:rsidR="000B2A86" w:rsidRDefault="00B66DB0">
      <w:pPr>
        <w:pStyle w:val="TOC1"/>
        <w:tabs>
          <w:tab w:val="right" w:leader="dot" w:pos="8618"/>
        </w:tabs>
      </w:pPr>
      <w:hyperlink w:anchor="_Toc24560" w:history="1">
        <w:r>
          <w:rPr>
            <w:rFonts w:hint="eastAsia"/>
          </w:rPr>
          <w:t>6</w:t>
        </w:r>
        <w:r>
          <w:rPr>
            <w:rFonts w:hint="eastAsia"/>
          </w:rPr>
          <w:t>、治理措施</w:t>
        </w:r>
        <w:r>
          <w:tab/>
        </w:r>
        <w:r>
          <w:fldChar w:fldCharType="begin"/>
        </w:r>
        <w:r>
          <w:instrText xml:space="preserve"> PAGEREF _Toc24560 </w:instrText>
        </w:r>
        <w:r>
          <w:fldChar w:fldCharType="separate"/>
        </w:r>
        <w:r>
          <w:t>10</w:t>
        </w:r>
        <w:r>
          <w:fldChar w:fldCharType="end"/>
        </w:r>
      </w:hyperlink>
    </w:p>
    <w:p w14:paraId="1A858AF6" w14:textId="77777777" w:rsidR="000B2A86" w:rsidRDefault="00B66DB0">
      <w:pPr>
        <w:pStyle w:val="TOC1"/>
        <w:tabs>
          <w:tab w:val="right" w:leader="dot" w:pos="8618"/>
        </w:tabs>
      </w:pPr>
      <w:hyperlink w:anchor="_Toc15184" w:history="1">
        <w:r>
          <w:rPr>
            <w:rFonts w:hint="eastAsia"/>
          </w:rPr>
          <w:t>7</w:t>
        </w:r>
        <w:r>
          <w:rPr>
            <w:rFonts w:hint="eastAsia"/>
          </w:rPr>
          <w:t>、制度保障</w:t>
        </w:r>
        <w:r>
          <w:tab/>
        </w:r>
        <w:r>
          <w:fldChar w:fldCharType="begin"/>
        </w:r>
        <w:r>
          <w:instrText xml:space="preserve"> PAGEREF _Toc15184 </w:instrText>
        </w:r>
        <w:r>
          <w:fldChar w:fldCharType="separate"/>
        </w:r>
        <w:r>
          <w:t>11</w:t>
        </w:r>
        <w:r>
          <w:fldChar w:fldCharType="end"/>
        </w:r>
      </w:hyperlink>
    </w:p>
    <w:p w14:paraId="1030D28A" w14:textId="77777777" w:rsidR="000B2A86" w:rsidRDefault="00B66DB0">
      <w:pPr>
        <w:pStyle w:val="TOC2"/>
        <w:tabs>
          <w:tab w:val="right" w:leader="dot" w:pos="8618"/>
        </w:tabs>
      </w:pPr>
      <w:hyperlink w:anchor="_Toc1292" w:history="1">
        <w:r>
          <w:rPr>
            <w:rFonts w:hint="eastAsia"/>
          </w:rPr>
          <w:t>7</w:t>
        </w:r>
        <w:r>
          <w:rPr>
            <w:rFonts w:hint="eastAsia"/>
          </w:rPr>
          <w:t>.1</w:t>
        </w:r>
        <w:r>
          <w:rPr>
            <w:rFonts w:hint="eastAsia"/>
          </w:rPr>
          <w:t>例会制度</w:t>
        </w:r>
        <w:r>
          <w:tab/>
        </w:r>
        <w:r>
          <w:fldChar w:fldCharType="begin"/>
        </w:r>
        <w:r>
          <w:instrText xml:space="preserve"> PAGEREF _Toc1292 </w:instrText>
        </w:r>
        <w:r>
          <w:fldChar w:fldCharType="separate"/>
        </w:r>
        <w:r>
          <w:t>11</w:t>
        </w:r>
        <w:r>
          <w:fldChar w:fldCharType="end"/>
        </w:r>
      </w:hyperlink>
    </w:p>
    <w:p w14:paraId="3C09C370" w14:textId="77777777" w:rsidR="000B2A86" w:rsidRDefault="00B66DB0">
      <w:pPr>
        <w:pStyle w:val="TOC2"/>
        <w:tabs>
          <w:tab w:val="right" w:leader="dot" w:pos="8618"/>
        </w:tabs>
      </w:pPr>
      <w:hyperlink w:anchor="_Toc6449" w:history="1">
        <w:r>
          <w:rPr>
            <w:rFonts w:hint="eastAsia"/>
          </w:rPr>
          <w:t>7</w:t>
        </w:r>
        <w:r>
          <w:rPr>
            <w:rFonts w:hint="eastAsia"/>
          </w:rPr>
          <w:t>.2</w:t>
        </w:r>
        <w:r>
          <w:rPr>
            <w:rFonts w:hint="eastAsia"/>
          </w:rPr>
          <w:t>扬尘检查制度</w:t>
        </w:r>
        <w:r>
          <w:tab/>
        </w:r>
        <w:r>
          <w:fldChar w:fldCharType="begin"/>
        </w:r>
        <w:r>
          <w:instrText xml:space="preserve"> PAGEREF _Toc6449 </w:instrText>
        </w:r>
        <w:r>
          <w:fldChar w:fldCharType="separate"/>
        </w:r>
        <w:r>
          <w:t>11</w:t>
        </w:r>
        <w:r>
          <w:fldChar w:fldCharType="end"/>
        </w:r>
      </w:hyperlink>
    </w:p>
    <w:p w14:paraId="5D9B6837" w14:textId="77777777" w:rsidR="000B2A86" w:rsidRDefault="00B66DB0">
      <w:pPr>
        <w:pStyle w:val="TOC2"/>
        <w:tabs>
          <w:tab w:val="right" w:leader="dot" w:pos="8618"/>
        </w:tabs>
      </w:pPr>
      <w:hyperlink w:anchor="_Toc14819" w:history="1">
        <w:r>
          <w:rPr>
            <w:rFonts w:hint="eastAsia"/>
          </w:rPr>
          <w:t>7</w:t>
        </w:r>
        <w:r>
          <w:rPr>
            <w:rFonts w:hint="eastAsia"/>
          </w:rPr>
          <w:t>.3</w:t>
        </w:r>
        <w:r>
          <w:rPr>
            <w:rFonts w:hint="eastAsia"/>
          </w:rPr>
          <w:t>环境因素调查制度</w:t>
        </w:r>
        <w:r>
          <w:tab/>
        </w:r>
        <w:r>
          <w:fldChar w:fldCharType="begin"/>
        </w:r>
        <w:r>
          <w:instrText xml:space="preserve"> PAGEREF _Toc14819 </w:instrText>
        </w:r>
        <w:r>
          <w:fldChar w:fldCharType="separate"/>
        </w:r>
        <w:r>
          <w:t>12</w:t>
        </w:r>
        <w:r>
          <w:fldChar w:fldCharType="end"/>
        </w:r>
      </w:hyperlink>
    </w:p>
    <w:p w14:paraId="2DF9FF97" w14:textId="77777777" w:rsidR="000B2A86" w:rsidRDefault="00B66DB0">
      <w:pPr>
        <w:pStyle w:val="TOC2"/>
        <w:tabs>
          <w:tab w:val="right" w:leader="dot" w:pos="8618"/>
        </w:tabs>
      </w:pPr>
      <w:hyperlink w:anchor="_Toc27867" w:history="1">
        <w:r>
          <w:rPr>
            <w:rFonts w:hint="eastAsia"/>
          </w:rPr>
          <w:t>7</w:t>
        </w:r>
        <w:r>
          <w:rPr>
            <w:rFonts w:hint="eastAsia"/>
          </w:rPr>
          <w:t>.4</w:t>
        </w:r>
        <w:r>
          <w:rPr>
            <w:rFonts w:hint="eastAsia"/>
          </w:rPr>
          <w:t>环境保护培训制度</w:t>
        </w:r>
        <w:r>
          <w:tab/>
        </w:r>
        <w:r>
          <w:fldChar w:fldCharType="begin"/>
        </w:r>
        <w:r>
          <w:instrText xml:space="preserve"> PAGEREF _</w:instrText>
        </w:r>
        <w:r>
          <w:instrText xml:space="preserve">Toc27867 </w:instrText>
        </w:r>
        <w:r>
          <w:fldChar w:fldCharType="separate"/>
        </w:r>
        <w:r>
          <w:t>12</w:t>
        </w:r>
        <w:r>
          <w:fldChar w:fldCharType="end"/>
        </w:r>
      </w:hyperlink>
    </w:p>
    <w:p w14:paraId="6ACF1620" w14:textId="77777777" w:rsidR="000B2A86" w:rsidRDefault="00B66DB0">
      <w:pPr>
        <w:pStyle w:val="TOC2"/>
        <w:tabs>
          <w:tab w:val="right" w:leader="dot" w:pos="8618"/>
        </w:tabs>
      </w:pPr>
      <w:hyperlink w:anchor="_Toc20342" w:history="1">
        <w:r>
          <w:rPr>
            <w:rFonts w:hint="eastAsia"/>
          </w:rPr>
          <w:t>7</w:t>
        </w:r>
        <w:r>
          <w:rPr>
            <w:rFonts w:hint="eastAsia"/>
          </w:rPr>
          <w:t>.5</w:t>
        </w:r>
        <w:r>
          <w:rPr>
            <w:rFonts w:hint="eastAsia"/>
          </w:rPr>
          <w:t>防止大气污染制度</w:t>
        </w:r>
        <w:r>
          <w:tab/>
        </w:r>
        <w:r>
          <w:fldChar w:fldCharType="begin"/>
        </w:r>
        <w:r>
          <w:instrText xml:space="preserve"> PAGEREF _Toc20342 </w:instrText>
        </w:r>
        <w:r>
          <w:fldChar w:fldCharType="separate"/>
        </w:r>
        <w:r>
          <w:t>13</w:t>
        </w:r>
        <w:r>
          <w:fldChar w:fldCharType="end"/>
        </w:r>
      </w:hyperlink>
    </w:p>
    <w:p w14:paraId="2590B466" w14:textId="77777777" w:rsidR="000B2A86" w:rsidRDefault="00B66DB0">
      <w:pPr>
        <w:pStyle w:val="TOC2"/>
        <w:tabs>
          <w:tab w:val="right" w:leader="dot" w:pos="8618"/>
        </w:tabs>
      </w:pPr>
      <w:hyperlink w:anchor="_Toc17676" w:history="1">
        <w:r>
          <w:rPr>
            <w:rFonts w:hint="eastAsia"/>
          </w:rPr>
          <w:t>7</w:t>
        </w:r>
        <w:r>
          <w:rPr>
            <w:rFonts w:hint="eastAsia"/>
          </w:rPr>
          <w:t>.6</w:t>
        </w:r>
        <w:r>
          <w:rPr>
            <w:rFonts w:hint="eastAsia"/>
          </w:rPr>
          <w:t>协议保障制度</w:t>
        </w:r>
        <w:r>
          <w:tab/>
        </w:r>
        <w:r>
          <w:fldChar w:fldCharType="begin"/>
        </w:r>
        <w:r>
          <w:instrText xml:space="preserve"> PAGEREF _Toc17676 </w:instrText>
        </w:r>
        <w:r>
          <w:fldChar w:fldCharType="separate"/>
        </w:r>
        <w:r>
          <w:t>13</w:t>
        </w:r>
        <w:r>
          <w:fldChar w:fldCharType="end"/>
        </w:r>
      </w:hyperlink>
    </w:p>
    <w:p w14:paraId="3B6580C0" w14:textId="77777777" w:rsidR="000B2A86" w:rsidRDefault="00B66DB0">
      <w:pPr>
        <w:pStyle w:val="TOC1"/>
        <w:tabs>
          <w:tab w:val="right" w:leader="dot" w:pos="8618"/>
        </w:tabs>
      </w:pPr>
      <w:hyperlink w:anchor="_Toc7239" w:history="1">
        <w:r>
          <w:rPr>
            <w:rFonts w:hint="eastAsia"/>
          </w:rPr>
          <w:t>8</w:t>
        </w:r>
        <w:r>
          <w:rPr>
            <w:rFonts w:hint="eastAsia"/>
          </w:rPr>
          <w:t>、应急措施</w:t>
        </w:r>
        <w:r>
          <w:rPr>
            <w:rFonts w:hint="eastAsia"/>
          </w:rPr>
          <w:t>  </w:t>
        </w:r>
        <w:r>
          <w:tab/>
        </w:r>
        <w:r>
          <w:fldChar w:fldCharType="begin"/>
        </w:r>
        <w:r>
          <w:instrText xml:space="preserve"> PAGEREF _Toc7239 </w:instrText>
        </w:r>
        <w:r>
          <w:fldChar w:fldCharType="separate"/>
        </w:r>
        <w:r>
          <w:t>13</w:t>
        </w:r>
        <w:r>
          <w:fldChar w:fldCharType="end"/>
        </w:r>
      </w:hyperlink>
    </w:p>
    <w:p w14:paraId="40091B78" w14:textId="77777777" w:rsidR="000B2A86" w:rsidRDefault="00B66DB0">
      <w:pPr>
        <w:pStyle w:val="TOC10"/>
        <w:rPr>
          <w:rFonts w:ascii="仿宋" w:eastAsia="仿宋" w:hAnsi="仿宋"/>
        </w:rPr>
      </w:pPr>
      <w:r>
        <w:rPr>
          <w:rFonts w:ascii="仿宋" w:eastAsia="仿宋" w:hAnsi="仿宋"/>
        </w:rPr>
        <w:fldChar w:fldCharType="end"/>
      </w:r>
    </w:p>
    <w:p w14:paraId="386F9CA4" w14:textId="77777777" w:rsidR="000B2A86" w:rsidRDefault="000B2A86">
      <w:pPr>
        <w:tabs>
          <w:tab w:val="left" w:pos="315"/>
          <w:tab w:val="left" w:pos="1050"/>
          <w:tab w:val="left" w:pos="1260"/>
          <w:tab w:val="left" w:pos="1470"/>
          <w:tab w:val="left" w:pos="1890"/>
        </w:tabs>
        <w:spacing w:line="160" w:lineRule="atLeast"/>
        <w:ind w:left="315"/>
        <w:rPr>
          <w:rFonts w:ascii="仿宋_GB2312" w:eastAsia="仿宋_GB2312" w:hAnsi="宋体"/>
          <w:sz w:val="28"/>
          <w:szCs w:val="28"/>
        </w:rPr>
      </w:pPr>
    </w:p>
    <w:p w14:paraId="2CD91573" w14:textId="77777777" w:rsidR="000B2A86" w:rsidRDefault="000B2A86">
      <w:pPr>
        <w:tabs>
          <w:tab w:val="left" w:pos="315"/>
          <w:tab w:val="left" w:pos="1050"/>
          <w:tab w:val="left" w:pos="1260"/>
          <w:tab w:val="left" w:pos="1470"/>
          <w:tab w:val="left" w:pos="1890"/>
        </w:tabs>
        <w:spacing w:line="160" w:lineRule="atLeast"/>
        <w:rPr>
          <w:rFonts w:ascii="仿宋_GB2312" w:eastAsia="仿宋_GB2312" w:hAnsi="宋体"/>
          <w:b/>
          <w:sz w:val="28"/>
          <w:szCs w:val="28"/>
        </w:rPr>
      </w:pPr>
    </w:p>
    <w:p w14:paraId="1F189666" w14:textId="720FC86B" w:rsidR="000B2A86" w:rsidRDefault="003000CA">
      <w:pPr>
        <w:tabs>
          <w:tab w:val="left" w:pos="315"/>
          <w:tab w:val="left" w:pos="1050"/>
          <w:tab w:val="left" w:pos="1260"/>
          <w:tab w:val="left" w:pos="1470"/>
          <w:tab w:val="left" w:pos="1890"/>
        </w:tabs>
        <w:spacing w:line="160" w:lineRule="atLeast"/>
        <w:rPr>
          <w:rFonts w:ascii="仿宋_GB2312" w:eastAsia="仿宋_GB2312" w:hAnsi="宋体"/>
          <w:b/>
          <w:sz w:val="28"/>
          <w:szCs w:val="28"/>
        </w:rPr>
        <w:sectPr w:rsidR="000B2A86">
          <w:headerReference w:type="default" r:id="rId10"/>
          <w:footerReference w:type="default" r:id="rId11"/>
          <w:pgSz w:w="11906" w:h="16838"/>
          <w:pgMar w:top="1440" w:right="1644" w:bottom="1440" w:left="1644" w:header="851" w:footer="992" w:gutter="0"/>
          <w:pgNumType w:fmt="upperRoman" w:start="1"/>
          <w:cols w:space="425"/>
          <w:docGrid w:type="lines" w:linePitch="312"/>
        </w:sectPr>
      </w:pPr>
      <w:r>
        <w:rPr>
          <w:rFonts w:ascii="仿宋_GB2312" w:eastAsia="仿宋_GB2312" w:hAnsi="宋体"/>
          <w:b/>
          <w:noProof/>
          <w:sz w:val="28"/>
          <w:szCs w:val="28"/>
        </w:rPr>
        <w:drawing>
          <wp:inline distT="0" distB="0" distL="0" distR="0" wp14:anchorId="357A7289" wp14:editId="24DDF514">
            <wp:extent cx="5271770" cy="16700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1770" cy="1670050"/>
                    </a:xfrm>
                    <a:prstGeom prst="rect">
                      <a:avLst/>
                    </a:prstGeom>
                    <a:noFill/>
                    <a:ln>
                      <a:noFill/>
                    </a:ln>
                  </pic:spPr>
                </pic:pic>
              </a:graphicData>
            </a:graphic>
          </wp:inline>
        </w:drawing>
      </w:r>
    </w:p>
    <w:p w14:paraId="0D4E94AF" w14:textId="77777777" w:rsidR="000B2A86" w:rsidRDefault="00B66DB0">
      <w:pPr>
        <w:pStyle w:val="10"/>
        <w:spacing w:before="156" w:after="312"/>
      </w:pPr>
      <w:bookmarkStart w:id="0" w:name="_Toc387903938"/>
      <w:bookmarkStart w:id="1" w:name="_Toc14920"/>
      <w:bookmarkStart w:id="2" w:name="_Toc440720069"/>
      <w:r>
        <w:rPr>
          <w:rFonts w:hint="eastAsia"/>
        </w:rPr>
        <w:lastRenderedPageBreak/>
        <w:t xml:space="preserve">1 </w:t>
      </w:r>
      <w:r>
        <w:rPr>
          <w:rFonts w:hint="eastAsia"/>
        </w:rPr>
        <w:t>编制依据</w:t>
      </w:r>
      <w:bookmarkEnd w:id="0"/>
      <w:bookmarkEnd w:id="1"/>
      <w:bookmarkEnd w:id="2"/>
    </w:p>
    <w:p w14:paraId="1AAAB7F2"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为有效防治施工场地扬尘污染，改善城市环境空气质量及人居环境，为城市创建世界田园城市做出贡献，为认真贯彻落实《河北省</w:t>
      </w:r>
      <w:r>
        <w:rPr>
          <w:rFonts w:ascii="仿宋_GB2312" w:eastAsia="仿宋_GB2312" w:hint="eastAsia"/>
          <w:bCs/>
          <w:sz w:val="28"/>
          <w:szCs w:val="28"/>
        </w:rPr>
        <w:t>建筑施工扬尘治理强化措施</w:t>
      </w:r>
      <w:r>
        <w:rPr>
          <w:rFonts w:ascii="仿宋_GB2312" w:eastAsia="仿宋_GB2312" w:hint="eastAsia"/>
          <w:bCs/>
          <w:sz w:val="28"/>
          <w:szCs w:val="28"/>
        </w:rPr>
        <w:t>18</w:t>
      </w:r>
      <w:r>
        <w:rPr>
          <w:rFonts w:ascii="仿宋_GB2312" w:eastAsia="仿宋_GB2312" w:hint="eastAsia"/>
          <w:bCs/>
          <w:sz w:val="28"/>
          <w:szCs w:val="28"/>
        </w:rPr>
        <w:t>条</w:t>
      </w:r>
      <w:r>
        <w:rPr>
          <w:rFonts w:ascii="仿宋_GB2312" w:eastAsia="仿宋_GB2312" w:hint="eastAsia"/>
          <w:bCs/>
          <w:sz w:val="28"/>
          <w:szCs w:val="28"/>
        </w:rPr>
        <w:t>》和《河北省扬尘污染防治管理办法》有关文明施工管理规定，实现文明施工现场达到河北省相关标准，特编制本施工扬尘控制专项方</w:t>
      </w:r>
      <w:r>
        <w:rPr>
          <w:rFonts w:ascii="仿宋_GB2312" w:eastAsia="仿宋_GB2312" w:hint="eastAsia"/>
          <w:bCs/>
          <w:sz w:val="28"/>
          <w:szCs w:val="28"/>
        </w:rPr>
        <w:t>案。</w:t>
      </w:r>
    </w:p>
    <w:p w14:paraId="225F8580"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编制依据</w:t>
      </w:r>
    </w:p>
    <w:p w14:paraId="45913706"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1</w:t>
      </w:r>
      <w:r>
        <w:rPr>
          <w:rFonts w:ascii="仿宋_GB2312" w:eastAsia="仿宋_GB2312" w:hint="eastAsia"/>
          <w:bCs/>
          <w:sz w:val="28"/>
          <w:szCs w:val="28"/>
        </w:rPr>
        <w:t>、《中华人民共和国环境保护法》</w:t>
      </w:r>
    </w:p>
    <w:p w14:paraId="6EF8AB82"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2</w:t>
      </w:r>
      <w:r>
        <w:rPr>
          <w:rFonts w:ascii="仿宋_GB2312" w:eastAsia="仿宋_GB2312" w:hint="eastAsia"/>
          <w:bCs/>
          <w:sz w:val="28"/>
          <w:szCs w:val="28"/>
        </w:rPr>
        <w:t>、《中华人民共和国环境影响评价法》</w:t>
      </w:r>
    </w:p>
    <w:p w14:paraId="54D87B42"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3</w:t>
      </w:r>
      <w:r>
        <w:rPr>
          <w:rFonts w:ascii="仿宋_GB2312" w:eastAsia="仿宋_GB2312" w:hint="eastAsia"/>
          <w:bCs/>
          <w:sz w:val="28"/>
          <w:szCs w:val="28"/>
        </w:rPr>
        <w:t>、《中华人民共和国大气污染防治法》</w:t>
      </w:r>
    </w:p>
    <w:p w14:paraId="0FFD7583"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4</w:t>
      </w:r>
      <w:r>
        <w:rPr>
          <w:rFonts w:ascii="仿宋_GB2312" w:eastAsia="仿宋_GB2312" w:hint="eastAsia"/>
          <w:bCs/>
          <w:sz w:val="28"/>
          <w:szCs w:val="28"/>
        </w:rPr>
        <w:t>、《中华人民共和国固体废物污染环境防治法》</w:t>
      </w:r>
    </w:p>
    <w:p w14:paraId="0991D099"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5</w:t>
      </w:r>
      <w:r>
        <w:rPr>
          <w:rFonts w:ascii="仿宋_GB2312" w:eastAsia="仿宋_GB2312" w:hint="eastAsia"/>
          <w:bCs/>
          <w:sz w:val="28"/>
          <w:szCs w:val="28"/>
        </w:rPr>
        <w:t>、集团公司</w:t>
      </w:r>
      <w:r>
        <w:rPr>
          <w:rFonts w:ascii="仿宋_GB2312" w:eastAsia="仿宋_GB2312" w:hint="eastAsia"/>
          <w:bCs/>
          <w:sz w:val="28"/>
          <w:szCs w:val="28"/>
        </w:rPr>
        <w:t>CIS</w:t>
      </w:r>
      <w:r>
        <w:rPr>
          <w:rFonts w:ascii="仿宋_GB2312" w:eastAsia="仿宋_GB2312" w:hint="eastAsia"/>
          <w:bCs/>
          <w:sz w:val="28"/>
          <w:szCs w:val="28"/>
        </w:rPr>
        <w:t>形象设计标准</w:t>
      </w:r>
    </w:p>
    <w:p w14:paraId="39FC454A"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6</w:t>
      </w:r>
      <w:r>
        <w:rPr>
          <w:rFonts w:ascii="仿宋_GB2312" w:eastAsia="仿宋_GB2312" w:hint="eastAsia"/>
          <w:bCs/>
          <w:sz w:val="28"/>
          <w:szCs w:val="28"/>
        </w:rPr>
        <w:t>、本工程施工组织设计</w:t>
      </w:r>
    </w:p>
    <w:p w14:paraId="1DFAFB35" w14:textId="77777777" w:rsidR="000B2A86" w:rsidRDefault="000B2A86"/>
    <w:p w14:paraId="4083D321" w14:textId="77777777" w:rsidR="000B2A86" w:rsidRDefault="00B66DB0">
      <w:pPr>
        <w:pStyle w:val="10"/>
        <w:spacing w:before="156" w:after="312"/>
      </w:pPr>
      <w:bookmarkStart w:id="3" w:name="_Toc149664521"/>
      <w:bookmarkStart w:id="4" w:name="_Toc16964"/>
      <w:bookmarkStart w:id="5" w:name="_Toc440720072"/>
      <w:r>
        <w:rPr>
          <w:rFonts w:hint="eastAsia"/>
        </w:rPr>
        <w:t>2</w:t>
      </w:r>
      <w:r>
        <w:rPr>
          <w:rFonts w:hint="eastAsia"/>
        </w:rPr>
        <w:t>、</w:t>
      </w:r>
      <w:bookmarkEnd w:id="3"/>
      <w:r>
        <w:rPr>
          <w:rFonts w:hint="eastAsia"/>
        </w:rPr>
        <w:t>工程概况</w:t>
      </w:r>
      <w:bookmarkEnd w:id="4"/>
      <w:bookmarkEnd w:id="5"/>
    </w:p>
    <w:p w14:paraId="1C477FA4" w14:textId="77777777" w:rsidR="000B2A86" w:rsidRDefault="00B66DB0">
      <w:pPr>
        <w:pStyle w:val="20"/>
        <w:spacing w:before="156" w:after="156"/>
        <w:rPr>
          <w:rFonts w:ascii="仿宋_GB2312" w:eastAsia="仿宋_GB2312"/>
          <w:sz w:val="28"/>
          <w:szCs w:val="28"/>
        </w:rPr>
      </w:pPr>
      <w:bookmarkStart w:id="6" w:name="_Toc15809"/>
      <w:bookmarkStart w:id="7" w:name="_Toc440720074"/>
      <w:r>
        <w:rPr>
          <w:rFonts w:hint="eastAsia"/>
        </w:rPr>
        <w:t>2.</w:t>
      </w:r>
      <w:r>
        <w:rPr>
          <w:rFonts w:hint="eastAsia"/>
        </w:rPr>
        <w:t>1</w:t>
      </w:r>
      <w:r>
        <w:rPr>
          <w:rFonts w:hint="eastAsia"/>
        </w:rPr>
        <w:t>工程规模</w:t>
      </w:r>
      <w:bookmarkEnd w:id="6"/>
    </w:p>
    <w:p w14:paraId="7DF88A92"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遵化碧桂园遵府</w:t>
      </w:r>
      <w:r>
        <w:rPr>
          <w:rFonts w:ascii="仿宋_GB2312" w:eastAsia="仿宋_GB2312" w:hint="eastAsia"/>
          <w:bCs/>
          <w:sz w:val="28"/>
          <w:szCs w:val="28"/>
        </w:rPr>
        <w:t>13#</w:t>
      </w:r>
      <w:r>
        <w:rPr>
          <w:rFonts w:ascii="仿宋_GB2312" w:eastAsia="仿宋_GB2312" w:hint="eastAsia"/>
          <w:bCs/>
          <w:sz w:val="28"/>
          <w:szCs w:val="28"/>
        </w:rPr>
        <w:t>、</w:t>
      </w:r>
      <w:r>
        <w:rPr>
          <w:rFonts w:ascii="仿宋_GB2312" w:eastAsia="仿宋_GB2312" w:hint="eastAsia"/>
          <w:bCs/>
          <w:sz w:val="28"/>
          <w:szCs w:val="28"/>
        </w:rPr>
        <w:t>14#</w:t>
      </w:r>
      <w:r>
        <w:rPr>
          <w:rFonts w:ascii="仿宋_GB2312" w:eastAsia="仿宋_GB2312" w:hint="eastAsia"/>
          <w:bCs/>
          <w:sz w:val="28"/>
          <w:szCs w:val="28"/>
        </w:rPr>
        <w:t>、</w:t>
      </w:r>
      <w:r>
        <w:rPr>
          <w:rFonts w:ascii="仿宋_GB2312" w:eastAsia="仿宋_GB2312" w:hint="eastAsia"/>
          <w:bCs/>
          <w:sz w:val="28"/>
          <w:szCs w:val="28"/>
        </w:rPr>
        <w:t>15#</w:t>
      </w:r>
      <w:r>
        <w:rPr>
          <w:rFonts w:ascii="仿宋_GB2312" w:eastAsia="仿宋_GB2312" w:hint="eastAsia"/>
          <w:bCs/>
          <w:sz w:val="28"/>
          <w:szCs w:val="28"/>
        </w:rPr>
        <w:t>、</w:t>
      </w:r>
      <w:r>
        <w:rPr>
          <w:rFonts w:ascii="仿宋_GB2312" w:eastAsia="仿宋_GB2312" w:hint="eastAsia"/>
          <w:bCs/>
          <w:sz w:val="28"/>
          <w:szCs w:val="28"/>
        </w:rPr>
        <w:t>20#</w:t>
      </w:r>
      <w:r>
        <w:rPr>
          <w:rFonts w:ascii="仿宋_GB2312" w:eastAsia="仿宋_GB2312" w:hint="eastAsia"/>
          <w:bCs/>
          <w:sz w:val="28"/>
          <w:szCs w:val="28"/>
        </w:rPr>
        <w:t>、</w:t>
      </w:r>
      <w:r>
        <w:rPr>
          <w:rFonts w:ascii="仿宋_GB2312" w:eastAsia="仿宋_GB2312" w:hint="eastAsia"/>
          <w:bCs/>
          <w:sz w:val="28"/>
          <w:szCs w:val="28"/>
        </w:rPr>
        <w:t>21#</w:t>
      </w:r>
      <w:r>
        <w:rPr>
          <w:rFonts w:ascii="仿宋_GB2312" w:eastAsia="仿宋_GB2312" w:hint="eastAsia"/>
          <w:bCs/>
          <w:sz w:val="28"/>
          <w:szCs w:val="28"/>
        </w:rPr>
        <w:t>楼工程，位于河北省遵化市文礼西街南侧，文苍路东侧碧桂园工地，本工程共计</w:t>
      </w:r>
      <w:r>
        <w:rPr>
          <w:rFonts w:ascii="仿宋_GB2312" w:eastAsia="仿宋_GB2312" w:hint="eastAsia"/>
          <w:bCs/>
          <w:sz w:val="28"/>
          <w:szCs w:val="28"/>
        </w:rPr>
        <w:t>5</w:t>
      </w:r>
      <w:r>
        <w:rPr>
          <w:rFonts w:ascii="仿宋_GB2312" w:eastAsia="仿宋_GB2312" w:hint="eastAsia"/>
          <w:bCs/>
          <w:sz w:val="28"/>
          <w:szCs w:val="28"/>
        </w:rPr>
        <w:t>栋单体，总建筑面积为</w:t>
      </w:r>
      <w:r>
        <w:rPr>
          <w:rFonts w:ascii="仿宋_GB2312" w:eastAsia="仿宋_GB2312" w:hint="eastAsia"/>
          <w:bCs/>
          <w:sz w:val="28"/>
          <w:szCs w:val="28"/>
        </w:rPr>
        <w:t>42223.06</w:t>
      </w:r>
      <w:r>
        <w:rPr>
          <w:rFonts w:ascii="仿宋_GB2312" w:eastAsia="仿宋_GB2312" w:hint="eastAsia"/>
          <w:bCs/>
          <w:sz w:val="28"/>
          <w:szCs w:val="28"/>
        </w:rPr>
        <w:t>㎡。</w:t>
      </w:r>
    </w:p>
    <w:p w14:paraId="42E8F4A1"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工程概况一览表如下：</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946"/>
        <w:gridCol w:w="945"/>
        <w:gridCol w:w="946"/>
        <w:gridCol w:w="946"/>
        <w:gridCol w:w="946"/>
        <w:gridCol w:w="946"/>
        <w:gridCol w:w="946"/>
        <w:gridCol w:w="946"/>
        <w:gridCol w:w="946"/>
      </w:tblGrid>
      <w:tr w:rsidR="000B2A86" w14:paraId="4F42200A" w14:textId="77777777">
        <w:tc>
          <w:tcPr>
            <w:tcW w:w="945" w:type="dxa"/>
          </w:tcPr>
          <w:p w14:paraId="7DFDAC69" w14:textId="77777777" w:rsidR="000B2A86" w:rsidRDefault="00B66DB0">
            <w:pPr>
              <w:rPr>
                <w:rFonts w:ascii="仿宋_GB2312" w:eastAsia="仿宋_GB2312"/>
                <w:bCs/>
                <w:sz w:val="28"/>
                <w:szCs w:val="28"/>
              </w:rPr>
            </w:pPr>
            <w:r>
              <w:rPr>
                <w:rFonts w:ascii="仿宋_GB2312" w:eastAsia="仿宋_GB2312" w:hint="eastAsia"/>
                <w:bCs/>
                <w:sz w:val="28"/>
                <w:szCs w:val="28"/>
              </w:rPr>
              <w:t>工程</w:t>
            </w:r>
            <w:r>
              <w:rPr>
                <w:rFonts w:ascii="仿宋_GB2312" w:eastAsia="仿宋_GB2312" w:hint="eastAsia"/>
                <w:bCs/>
                <w:sz w:val="28"/>
                <w:szCs w:val="28"/>
              </w:rPr>
              <w:lastRenderedPageBreak/>
              <w:t>项目（型号）</w:t>
            </w:r>
          </w:p>
        </w:tc>
        <w:tc>
          <w:tcPr>
            <w:tcW w:w="946" w:type="dxa"/>
          </w:tcPr>
          <w:p w14:paraId="07CC35E1"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栋数</w:t>
            </w:r>
          </w:p>
        </w:tc>
        <w:tc>
          <w:tcPr>
            <w:tcW w:w="945" w:type="dxa"/>
          </w:tcPr>
          <w:p w14:paraId="403BA46C" w14:textId="77777777" w:rsidR="000B2A86" w:rsidRDefault="00B66DB0">
            <w:pPr>
              <w:rPr>
                <w:rFonts w:ascii="仿宋_GB2312" w:eastAsia="仿宋_GB2312"/>
                <w:bCs/>
                <w:sz w:val="28"/>
                <w:szCs w:val="28"/>
              </w:rPr>
            </w:pPr>
            <w:r>
              <w:rPr>
                <w:rFonts w:ascii="仿宋_GB2312" w:eastAsia="仿宋_GB2312" w:hint="eastAsia"/>
                <w:bCs/>
                <w:sz w:val="28"/>
                <w:szCs w:val="28"/>
              </w:rPr>
              <w:t>单栋</w:t>
            </w:r>
            <w:r>
              <w:rPr>
                <w:rFonts w:ascii="仿宋_GB2312" w:eastAsia="仿宋_GB2312" w:hint="eastAsia"/>
                <w:bCs/>
                <w:sz w:val="28"/>
                <w:szCs w:val="28"/>
              </w:rPr>
              <w:lastRenderedPageBreak/>
              <w:t>建筑面积</w:t>
            </w:r>
            <w:r>
              <w:rPr>
                <w:rFonts w:ascii="仿宋_GB2312" w:eastAsia="仿宋_GB2312" w:hint="eastAsia"/>
                <w:bCs/>
                <w:sz w:val="28"/>
                <w:szCs w:val="28"/>
              </w:rPr>
              <w:t>㎡</w:t>
            </w:r>
          </w:p>
        </w:tc>
        <w:tc>
          <w:tcPr>
            <w:tcW w:w="946" w:type="dxa"/>
          </w:tcPr>
          <w:p w14:paraId="4B1F991A"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总建</w:t>
            </w:r>
            <w:r>
              <w:rPr>
                <w:rFonts w:ascii="仿宋_GB2312" w:eastAsia="仿宋_GB2312" w:hint="eastAsia"/>
                <w:bCs/>
                <w:sz w:val="28"/>
                <w:szCs w:val="28"/>
              </w:rPr>
              <w:lastRenderedPageBreak/>
              <w:t>筑面积</w:t>
            </w:r>
            <w:r>
              <w:rPr>
                <w:rFonts w:ascii="仿宋_GB2312" w:eastAsia="仿宋_GB2312" w:hint="eastAsia"/>
                <w:bCs/>
                <w:sz w:val="28"/>
                <w:szCs w:val="28"/>
              </w:rPr>
              <w:t>㎡</w:t>
            </w:r>
          </w:p>
        </w:tc>
        <w:tc>
          <w:tcPr>
            <w:tcW w:w="946" w:type="dxa"/>
          </w:tcPr>
          <w:p w14:paraId="16415A6E"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地上</w:t>
            </w:r>
            <w:r>
              <w:rPr>
                <w:rFonts w:ascii="仿宋_GB2312" w:eastAsia="仿宋_GB2312" w:hint="eastAsia"/>
                <w:bCs/>
                <w:sz w:val="28"/>
                <w:szCs w:val="28"/>
              </w:rPr>
              <w:lastRenderedPageBreak/>
              <w:t>层数</w:t>
            </w:r>
          </w:p>
        </w:tc>
        <w:tc>
          <w:tcPr>
            <w:tcW w:w="946" w:type="dxa"/>
          </w:tcPr>
          <w:p w14:paraId="6436FB96"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地下</w:t>
            </w:r>
            <w:r>
              <w:rPr>
                <w:rFonts w:ascii="仿宋_GB2312" w:eastAsia="仿宋_GB2312" w:hint="eastAsia"/>
                <w:bCs/>
                <w:sz w:val="28"/>
                <w:szCs w:val="28"/>
              </w:rPr>
              <w:lastRenderedPageBreak/>
              <w:t>层数</w:t>
            </w:r>
          </w:p>
        </w:tc>
        <w:tc>
          <w:tcPr>
            <w:tcW w:w="946" w:type="dxa"/>
          </w:tcPr>
          <w:p w14:paraId="2C5E8A3A"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基础</w:t>
            </w:r>
            <w:r>
              <w:rPr>
                <w:rFonts w:ascii="仿宋_GB2312" w:eastAsia="仿宋_GB2312" w:hint="eastAsia"/>
                <w:bCs/>
                <w:sz w:val="28"/>
                <w:szCs w:val="28"/>
              </w:rPr>
              <w:lastRenderedPageBreak/>
              <w:t>类型</w:t>
            </w:r>
          </w:p>
        </w:tc>
        <w:tc>
          <w:tcPr>
            <w:tcW w:w="946" w:type="dxa"/>
          </w:tcPr>
          <w:p w14:paraId="41E999A7"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结构</w:t>
            </w:r>
            <w:r>
              <w:rPr>
                <w:rFonts w:ascii="仿宋_GB2312" w:eastAsia="仿宋_GB2312" w:hint="eastAsia"/>
                <w:bCs/>
                <w:sz w:val="28"/>
                <w:szCs w:val="28"/>
              </w:rPr>
              <w:lastRenderedPageBreak/>
              <w:t>形式</w:t>
            </w:r>
          </w:p>
        </w:tc>
        <w:tc>
          <w:tcPr>
            <w:tcW w:w="946" w:type="dxa"/>
          </w:tcPr>
          <w:p w14:paraId="39B8798E"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栋号</w:t>
            </w:r>
          </w:p>
        </w:tc>
        <w:tc>
          <w:tcPr>
            <w:tcW w:w="946" w:type="dxa"/>
          </w:tcPr>
          <w:p w14:paraId="751C06E9" w14:textId="77777777" w:rsidR="000B2A86" w:rsidRDefault="00B66DB0">
            <w:pPr>
              <w:rPr>
                <w:rFonts w:ascii="仿宋_GB2312" w:eastAsia="仿宋_GB2312"/>
                <w:bCs/>
                <w:sz w:val="28"/>
                <w:szCs w:val="28"/>
              </w:rPr>
            </w:pPr>
            <w:r>
              <w:rPr>
                <w:rFonts w:ascii="仿宋_GB2312" w:eastAsia="仿宋_GB2312" w:hint="eastAsia"/>
                <w:bCs/>
                <w:sz w:val="28"/>
                <w:szCs w:val="28"/>
              </w:rPr>
              <w:t>交楼</w:t>
            </w:r>
            <w:r>
              <w:rPr>
                <w:rFonts w:ascii="仿宋_GB2312" w:eastAsia="仿宋_GB2312" w:hint="eastAsia"/>
                <w:bCs/>
                <w:sz w:val="28"/>
                <w:szCs w:val="28"/>
              </w:rPr>
              <w:lastRenderedPageBreak/>
              <w:t>标准</w:t>
            </w:r>
          </w:p>
        </w:tc>
      </w:tr>
      <w:tr w:rsidR="000B2A86" w14:paraId="432F5178" w14:textId="77777777">
        <w:tc>
          <w:tcPr>
            <w:tcW w:w="945" w:type="dxa"/>
            <w:vAlign w:val="center"/>
          </w:tcPr>
          <w:p w14:paraId="36D4022A" w14:textId="77777777" w:rsidR="000B2A86" w:rsidRDefault="00B66DB0">
            <w:pPr>
              <w:rPr>
                <w:rFonts w:ascii="仿宋_GB2312" w:eastAsia="仿宋_GB2312"/>
                <w:bCs/>
                <w:sz w:val="28"/>
                <w:szCs w:val="28"/>
              </w:rPr>
            </w:pPr>
            <w:r>
              <w:rPr>
                <w:rFonts w:ascii="仿宋_GB2312" w:eastAsia="仿宋_GB2312" w:hint="eastAsia"/>
                <w:bCs/>
                <w:sz w:val="28"/>
                <w:szCs w:val="28"/>
              </w:rPr>
              <w:lastRenderedPageBreak/>
              <w:t>YJ143T-2</w:t>
            </w:r>
          </w:p>
        </w:tc>
        <w:tc>
          <w:tcPr>
            <w:tcW w:w="946" w:type="dxa"/>
            <w:vAlign w:val="center"/>
          </w:tcPr>
          <w:p w14:paraId="7E63D9A0" w14:textId="77777777" w:rsidR="000B2A86" w:rsidRDefault="00B66DB0">
            <w:pPr>
              <w:rPr>
                <w:rFonts w:ascii="仿宋_GB2312" w:eastAsia="仿宋_GB2312"/>
                <w:bCs/>
                <w:sz w:val="28"/>
                <w:szCs w:val="28"/>
              </w:rPr>
            </w:pPr>
            <w:r>
              <w:rPr>
                <w:rFonts w:ascii="仿宋_GB2312" w:eastAsia="仿宋_GB2312" w:hint="eastAsia"/>
                <w:bCs/>
                <w:sz w:val="28"/>
                <w:szCs w:val="28"/>
              </w:rPr>
              <w:t>1</w:t>
            </w:r>
          </w:p>
        </w:tc>
        <w:tc>
          <w:tcPr>
            <w:tcW w:w="945" w:type="dxa"/>
            <w:vAlign w:val="center"/>
          </w:tcPr>
          <w:p w14:paraId="57A0BD32" w14:textId="77777777" w:rsidR="000B2A86" w:rsidRDefault="00B66DB0">
            <w:pPr>
              <w:rPr>
                <w:rFonts w:ascii="仿宋_GB2312" w:eastAsia="仿宋_GB2312"/>
                <w:bCs/>
                <w:sz w:val="28"/>
                <w:szCs w:val="28"/>
              </w:rPr>
            </w:pPr>
            <w:r>
              <w:rPr>
                <w:rFonts w:ascii="仿宋_GB2312" w:eastAsia="仿宋_GB2312" w:hint="eastAsia"/>
                <w:bCs/>
                <w:sz w:val="28"/>
                <w:szCs w:val="28"/>
              </w:rPr>
              <w:t>13151.54</w:t>
            </w:r>
          </w:p>
        </w:tc>
        <w:tc>
          <w:tcPr>
            <w:tcW w:w="946" w:type="dxa"/>
            <w:vAlign w:val="center"/>
          </w:tcPr>
          <w:p w14:paraId="4C86FA8F" w14:textId="77777777" w:rsidR="000B2A86" w:rsidRDefault="00B66DB0">
            <w:pPr>
              <w:rPr>
                <w:rFonts w:ascii="仿宋_GB2312" w:eastAsia="仿宋_GB2312"/>
                <w:bCs/>
                <w:sz w:val="28"/>
                <w:szCs w:val="28"/>
              </w:rPr>
            </w:pPr>
            <w:r>
              <w:rPr>
                <w:rFonts w:ascii="仿宋_GB2312" w:eastAsia="仿宋_GB2312" w:hint="eastAsia"/>
                <w:bCs/>
                <w:sz w:val="28"/>
                <w:szCs w:val="28"/>
              </w:rPr>
              <w:t>13151.54</w:t>
            </w:r>
          </w:p>
        </w:tc>
        <w:tc>
          <w:tcPr>
            <w:tcW w:w="946" w:type="dxa"/>
            <w:vAlign w:val="center"/>
          </w:tcPr>
          <w:p w14:paraId="71472028" w14:textId="77777777" w:rsidR="000B2A86" w:rsidRDefault="00B66DB0">
            <w:pPr>
              <w:rPr>
                <w:rFonts w:ascii="仿宋_GB2312" w:eastAsia="仿宋_GB2312"/>
                <w:bCs/>
                <w:sz w:val="28"/>
                <w:szCs w:val="28"/>
              </w:rPr>
            </w:pPr>
            <w:r>
              <w:rPr>
                <w:rFonts w:ascii="仿宋_GB2312" w:eastAsia="仿宋_GB2312" w:hint="eastAsia"/>
                <w:bCs/>
                <w:sz w:val="28"/>
                <w:szCs w:val="28"/>
              </w:rPr>
              <w:t>30</w:t>
            </w:r>
          </w:p>
        </w:tc>
        <w:tc>
          <w:tcPr>
            <w:tcW w:w="946" w:type="dxa"/>
            <w:vAlign w:val="center"/>
          </w:tcPr>
          <w:p w14:paraId="50A98110" w14:textId="77777777" w:rsidR="000B2A86" w:rsidRDefault="00B66DB0">
            <w:pPr>
              <w:rPr>
                <w:rFonts w:ascii="仿宋_GB2312" w:eastAsia="仿宋_GB2312"/>
                <w:bCs/>
                <w:sz w:val="28"/>
                <w:szCs w:val="28"/>
              </w:rPr>
            </w:pPr>
            <w:r>
              <w:rPr>
                <w:rFonts w:ascii="仿宋_GB2312" w:eastAsia="仿宋_GB2312" w:hint="eastAsia"/>
                <w:bCs/>
                <w:sz w:val="28"/>
                <w:szCs w:val="28"/>
              </w:rPr>
              <w:t>1</w:t>
            </w:r>
          </w:p>
        </w:tc>
        <w:tc>
          <w:tcPr>
            <w:tcW w:w="946" w:type="dxa"/>
            <w:vAlign w:val="center"/>
          </w:tcPr>
          <w:p w14:paraId="11C91743" w14:textId="77777777" w:rsidR="000B2A86" w:rsidRDefault="00B66DB0">
            <w:pPr>
              <w:rPr>
                <w:rFonts w:ascii="仿宋_GB2312" w:eastAsia="仿宋_GB2312"/>
                <w:bCs/>
                <w:sz w:val="28"/>
                <w:szCs w:val="28"/>
              </w:rPr>
            </w:pPr>
            <w:r>
              <w:rPr>
                <w:rFonts w:ascii="仿宋_GB2312" w:eastAsia="仿宋_GB2312" w:hint="eastAsia"/>
                <w:bCs/>
                <w:sz w:val="28"/>
                <w:szCs w:val="28"/>
              </w:rPr>
              <w:t>CFG</w:t>
            </w:r>
            <w:r>
              <w:rPr>
                <w:rFonts w:ascii="仿宋_GB2312" w:eastAsia="仿宋_GB2312" w:hint="eastAsia"/>
                <w:bCs/>
                <w:sz w:val="28"/>
                <w:szCs w:val="28"/>
              </w:rPr>
              <w:t>桩加筏板基础</w:t>
            </w:r>
          </w:p>
        </w:tc>
        <w:tc>
          <w:tcPr>
            <w:tcW w:w="946" w:type="dxa"/>
            <w:vAlign w:val="center"/>
          </w:tcPr>
          <w:p w14:paraId="6A8E0DA6" w14:textId="77777777" w:rsidR="000B2A86" w:rsidRDefault="00B66DB0">
            <w:pPr>
              <w:rPr>
                <w:rFonts w:ascii="仿宋_GB2312" w:eastAsia="仿宋_GB2312"/>
                <w:bCs/>
                <w:sz w:val="28"/>
                <w:szCs w:val="28"/>
              </w:rPr>
            </w:pPr>
            <w:r>
              <w:rPr>
                <w:rFonts w:ascii="仿宋_GB2312" w:eastAsia="仿宋_GB2312" w:hint="eastAsia"/>
                <w:bCs/>
                <w:sz w:val="28"/>
                <w:szCs w:val="28"/>
              </w:rPr>
              <w:t>剪力墙</w:t>
            </w:r>
          </w:p>
        </w:tc>
        <w:tc>
          <w:tcPr>
            <w:tcW w:w="946" w:type="dxa"/>
            <w:vAlign w:val="center"/>
          </w:tcPr>
          <w:p w14:paraId="66AE8EDD" w14:textId="77777777" w:rsidR="000B2A86" w:rsidRDefault="00B66DB0">
            <w:pPr>
              <w:rPr>
                <w:rFonts w:ascii="仿宋_GB2312" w:eastAsia="仿宋_GB2312"/>
                <w:bCs/>
                <w:sz w:val="28"/>
                <w:szCs w:val="28"/>
              </w:rPr>
            </w:pPr>
            <w:r>
              <w:rPr>
                <w:rFonts w:ascii="仿宋_GB2312" w:eastAsia="仿宋_GB2312" w:hint="eastAsia"/>
                <w:bCs/>
                <w:sz w:val="28"/>
                <w:szCs w:val="28"/>
              </w:rPr>
              <w:t>13#</w:t>
            </w:r>
          </w:p>
        </w:tc>
        <w:tc>
          <w:tcPr>
            <w:tcW w:w="946" w:type="dxa"/>
            <w:vAlign w:val="center"/>
          </w:tcPr>
          <w:p w14:paraId="51ABB443" w14:textId="77777777" w:rsidR="000B2A86" w:rsidRDefault="00B66DB0">
            <w:pPr>
              <w:rPr>
                <w:rFonts w:ascii="仿宋_GB2312" w:eastAsia="仿宋_GB2312"/>
                <w:bCs/>
                <w:sz w:val="28"/>
                <w:szCs w:val="28"/>
              </w:rPr>
            </w:pPr>
            <w:r>
              <w:rPr>
                <w:rFonts w:ascii="仿宋_GB2312" w:eastAsia="仿宋_GB2312" w:hint="eastAsia"/>
                <w:bCs/>
                <w:sz w:val="28"/>
                <w:szCs w:val="28"/>
              </w:rPr>
              <w:t>精装修</w:t>
            </w:r>
          </w:p>
        </w:tc>
      </w:tr>
      <w:tr w:rsidR="000B2A86" w14:paraId="42772F57" w14:textId="77777777">
        <w:tc>
          <w:tcPr>
            <w:tcW w:w="945" w:type="dxa"/>
            <w:vAlign w:val="center"/>
          </w:tcPr>
          <w:p w14:paraId="09554E5A" w14:textId="77777777" w:rsidR="000B2A86" w:rsidRDefault="00B66DB0">
            <w:pPr>
              <w:rPr>
                <w:rFonts w:ascii="仿宋_GB2312" w:eastAsia="仿宋_GB2312"/>
                <w:bCs/>
                <w:sz w:val="28"/>
                <w:szCs w:val="28"/>
              </w:rPr>
            </w:pPr>
            <w:r>
              <w:rPr>
                <w:rFonts w:ascii="仿宋_GB2312" w:eastAsia="仿宋_GB2312" w:hint="eastAsia"/>
                <w:bCs/>
                <w:sz w:val="28"/>
                <w:szCs w:val="28"/>
              </w:rPr>
              <w:t>YJ140T-9</w:t>
            </w:r>
          </w:p>
        </w:tc>
        <w:tc>
          <w:tcPr>
            <w:tcW w:w="946" w:type="dxa"/>
            <w:vAlign w:val="center"/>
          </w:tcPr>
          <w:p w14:paraId="28AB796F" w14:textId="77777777" w:rsidR="000B2A86" w:rsidRDefault="00B66DB0">
            <w:pPr>
              <w:rPr>
                <w:rFonts w:ascii="仿宋_GB2312" w:eastAsia="仿宋_GB2312"/>
                <w:bCs/>
                <w:sz w:val="28"/>
                <w:szCs w:val="28"/>
              </w:rPr>
            </w:pPr>
            <w:r>
              <w:rPr>
                <w:rFonts w:ascii="仿宋_GB2312" w:eastAsia="仿宋_GB2312" w:hint="eastAsia"/>
                <w:bCs/>
                <w:sz w:val="28"/>
                <w:szCs w:val="28"/>
              </w:rPr>
              <w:t>3</w:t>
            </w:r>
          </w:p>
        </w:tc>
        <w:tc>
          <w:tcPr>
            <w:tcW w:w="945" w:type="dxa"/>
            <w:vAlign w:val="center"/>
          </w:tcPr>
          <w:p w14:paraId="555E6DA4" w14:textId="77777777" w:rsidR="000B2A86" w:rsidRDefault="00B66DB0">
            <w:pPr>
              <w:rPr>
                <w:rFonts w:ascii="仿宋_GB2312" w:eastAsia="仿宋_GB2312"/>
                <w:bCs/>
                <w:sz w:val="28"/>
                <w:szCs w:val="28"/>
              </w:rPr>
            </w:pPr>
            <w:r>
              <w:rPr>
                <w:rFonts w:ascii="仿宋_GB2312" w:eastAsia="仿宋_GB2312" w:hint="eastAsia"/>
                <w:bCs/>
                <w:sz w:val="28"/>
                <w:szCs w:val="28"/>
              </w:rPr>
              <w:t>5297.48</w:t>
            </w:r>
          </w:p>
        </w:tc>
        <w:tc>
          <w:tcPr>
            <w:tcW w:w="946" w:type="dxa"/>
            <w:vAlign w:val="center"/>
          </w:tcPr>
          <w:p w14:paraId="22A11003" w14:textId="77777777" w:rsidR="000B2A86" w:rsidRDefault="00B66DB0">
            <w:pPr>
              <w:rPr>
                <w:rFonts w:ascii="仿宋_GB2312" w:eastAsia="仿宋_GB2312"/>
                <w:bCs/>
                <w:sz w:val="28"/>
                <w:szCs w:val="28"/>
              </w:rPr>
            </w:pPr>
            <w:r>
              <w:rPr>
                <w:rFonts w:ascii="仿宋_GB2312" w:eastAsia="仿宋_GB2312" w:hint="eastAsia"/>
                <w:bCs/>
                <w:sz w:val="28"/>
                <w:szCs w:val="28"/>
              </w:rPr>
              <w:t>15,</w:t>
            </w:r>
            <w:r>
              <w:rPr>
                <w:rFonts w:ascii="仿宋_GB2312" w:eastAsia="仿宋_GB2312" w:hint="eastAsia"/>
                <w:bCs/>
                <w:sz w:val="28"/>
                <w:szCs w:val="28"/>
              </w:rPr>
              <w:t>892</w:t>
            </w:r>
            <w:r>
              <w:rPr>
                <w:rFonts w:ascii="仿宋_GB2312" w:eastAsia="仿宋_GB2312" w:hint="eastAsia"/>
                <w:bCs/>
                <w:sz w:val="28"/>
                <w:szCs w:val="28"/>
              </w:rPr>
              <w:t>.</w:t>
            </w:r>
            <w:r>
              <w:rPr>
                <w:rFonts w:ascii="仿宋_GB2312" w:eastAsia="仿宋_GB2312" w:hint="eastAsia"/>
                <w:bCs/>
                <w:sz w:val="28"/>
                <w:szCs w:val="28"/>
              </w:rPr>
              <w:t>44</w:t>
            </w:r>
          </w:p>
        </w:tc>
        <w:tc>
          <w:tcPr>
            <w:tcW w:w="946" w:type="dxa"/>
            <w:vAlign w:val="center"/>
          </w:tcPr>
          <w:p w14:paraId="17EFF7FE" w14:textId="77777777" w:rsidR="000B2A86" w:rsidRDefault="00B66DB0">
            <w:pPr>
              <w:rPr>
                <w:rFonts w:ascii="仿宋_GB2312" w:eastAsia="仿宋_GB2312"/>
                <w:bCs/>
                <w:sz w:val="28"/>
                <w:szCs w:val="28"/>
              </w:rPr>
            </w:pPr>
            <w:r>
              <w:rPr>
                <w:rFonts w:ascii="仿宋_GB2312" w:eastAsia="仿宋_GB2312" w:hint="eastAsia"/>
                <w:bCs/>
                <w:sz w:val="28"/>
                <w:szCs w:val="28"/>
              </w:rPr>
              <w:t>18</w:t>
            </w:r>
          </w:p>
        </w:tc>
        <w:tc>
          <w:tcPr>
            <w:tcW w:w="946" w:type="dxa"/>
            <w:vAlign w:val="center"/>
          </w:tcPr>
          <w:p w14:paraId="6C0987E3" w14:textId="77777777" w:rsidR="000B2A86" w:rsidRDefault="00B66DB0">
            <w:pPr>
              <w:rPr>
                <w:rFonts w:ascii="仿宋_GB2312" w:eastAsia="仿宋_GB2312"/>
                <w:bCs/>
                <w:sz w:val="28"/>
                <w:szCs w:val="28"/>
              </w:rPr>
            </w:pPr>
            <w:r>
              <w:rPr>
                <w:rFonts w:ascii="仿宋_GB2312" w:eastAsia="仿宋_GB2312" w:hint="eastAsia"/>
                <w:bCs/>
                <w:sz w:val="28"/>
                <w:szCs w:val="28"/>
              </w:rPr>
              <w:t>1</w:t>
            </w:r>
          </w:p>
        </w:tc>
        <w:tc>
          <w:tcPr>
            <w:tcW w:w="946" w:type="dxa"/>
            <w:vAlign w:val="center"/>
          </w:tcPr>
          <w:p w14:paraId="44AF0DA5" w14:textId="77777777" w:rsidR="000B2A86" w:rsidRDefault="00B66DB0">
            <w:pPr>
              <w:rPr>
                <w:rFonts w:ascii="仿宋_GB2312" w:eastAsia="仿宋_GB2312"/>
                <w:bCs/>
                <w:sz w:val="28"/>
                <w:szCs w:val="28"/>
              </w:rPr>
            </w:pPr>
            <w:r>
              <w:rPr>
                <w:rFonts w:ascii="仿宋_GB2312" w:eastAsia="仿宋_GB2312" w:hint="eastAsia"/>
                <w:bCs/>
                <w:sz w:val="28"/>
                <w:szCs w:val="28"/>
              </w:rPr>
              <w:t>CFG</w:t>
            </w:r>
            <w:r>
              <w:rPr>
                <w:rFonts w:ascii="仿宋_GB2312" w:eastAsia="仿宋_GB2312" w:hint="eastAsia"/>
                <w:bCs/>
                <w:sz w:val="28"/>
                <w:szCs w:val="28"/>
              </w:rPr>
              <w:t>桩加筏板基础</w:t>
            </w:r>
          </w:p>
        </w:tc>
        <w:tc>
          <w:tcPr>
            <w:tcW w:w="946" w:type="dxa"/>
            <w:vAlign w:val="center"/>
          </w:tcPr>
          <w:p w14:paraId="0AAB484A" w14:textId="77777777" w:rsidR="000B2A86" w:rsidRDefault="00B66DB0">
            <w:pPr>
              <w:rPr>
                <w:rFonts w:ascii="仿宋_GB2312" w:eastAsia="仿宋_GB2312"/>
                <w:bCs/>
                <w:sz w:val="28"/>
                <w:szCs w:val="28"/>
              </w:rPr>
            </w:pPr>
            <w:r>
              <w:rPr>
                <w:rFonts w:ascii="仿宋_GB2312" w:eastAsia="仿宋_GB2312" w:hint="eastAsia"/>
                <w:bCs/>
                <w:sz w:val="28"/>
                <w:szCs w:val="28"/>
              </w:rPr>
              <w:t>剪力墙</w:t>
            </w:r>
          </w:p>
        </w:tc>
        <w:tc>
          <w:tcPr>
            <w:tcW w:w="946" w:type="dxa"/>
            <w:vAlign w:val="center"/>
          </w:tcPr>
          <w:p w14:paraId="6800EE16" w14:textId="77777777" w:rsidR="000B2A86" w:rsidRDefault="00B66DB0">
            <w:pPr>
              <w:rPr>
                <w:rFonts w:ascii="仿宋_GB2312" w:eastAsia="仿宋_GB2312"/>
                <w:bCs/>
                <w:sz w:val="28"/>
                <w:szCs w:val="28"/>
              </w:rPr>
            </w:pPr>
            <w:r>
              <w:rPr>
                <w:rFonts w:ascii="仿宋_GB2312" w:eastAsia="仿宋_GB2312" w:hint="eastAsia"/>
                <w:bCs/>
                <w:sz w:val="28"/>
                <w:szCs w:val="28"/>
              </w:rPr>
              <w:t>14#</w:t>
            </w:r>
            <w:r>
              <w:rPr>
                <w:rFonts w:ascii="仿宋_GB2312" w:eastAsia="仿宋_GB2312" w:hint="eastAsia"/>
                <w:bCs/>
                <w:sz w:val="28"/>
                <w:szCs w:val="28"/>
              </w:rPr>
              <w:t>、</w:t>
            </w:r>
            <w:r>
              <w:rPr>
                <w:rFonts w:ascii="仿宋_GB2312" w:eastAsia="仿宋_GB2312" w:hint="eastAsia"/>
                <w:bCs/>
                <w:sz w:val="28"/>
                <w:szCs w:val="28"/>
              </w:rPr>
              <w:t>15#</w:t>
            </w:r>
            <w:r>
              <w:rPr>
                <w:rFonts w:ascii="仿宋_GB2312" w:eastAsia="仿宋_GB2312" w:hint="eastAsia"/>
                <w:bCs/>
                <w:sz w:val="28"/>
                <w:szCs w:val="28"/>
              </w:rPr>
              <w:t>、</w:t>
            </w:r>
            <w:r>
              <w:rPr>
                <w:rFonts w:ascii="仿宋_GB2312" w:eastAsia="仿宋_GB2312" w:hint="eastAsia"/>
                <w:bCs/>
                <w:sz w:val="28"/>
                <w:szCs w:val="28"/>
              </w:rPr>
              <w:t>20#</w:t>
            </w:r>
          </w:p>
        </w:tc>
        <w:tc>
          <w:tcPr>
            <w:tcW w:w="946" w:type="dxa"/>
            <w:vAlign w:val="center"/>
          </w:tcPr>
          <w:p w14:paraId="06BAAC78" w14:textId="77777777" w:rsidR="000B2A86" w:rsidRDefault="00B66DB0">
            <w:pPr>
              <w:rPr>
                <w:rFonts w:ascii="仿宋_GB2312" w:eastAsia="仿宋_GB2312"/>
                <w:bCs/>
                <w:sz w:val="28"/>
                <w:szCs w:val="28"/>
              </w:rPr>
            </w:pPr>
            <w:r>
              <w:rPr>
                <w:rFonts w:ascii="仿宋_GB2312" w:eastAsia="仿宋_GB2312" w:hint="eastAsia"/>
                <w:bCs/>
                <w:sz w:val="28"/>
                <w:szCs w:val="28"/>
              </w:rPr>
              <w:t>精装修</w:t>
            </w:r>
          </w:p>
        </w:tc>
      </w:tr>
      <w:tr w:rsidR="000B2A86" w14:paraId="452EAC8A" w14:textId="77777777">
        <w:tc>
          <w:tcPr>
            <w:tcW w:w="945" w:type="dxa"/>
            <w:vAlign w:val="center"/>
          </w:tcPr>
          <w:p w14:paraId="715FFBD6" w14:textId="77777777" w:rsidR="000B2A86" w:rsidRDefault="00B66DB0">
            <w:pPr>
              <w:rPr>
                <w:rFonts w:ascii="仿宋_GB2312" w:eastAsia="仿宋_GB2312"/>
                <w:bCs/>
                <w:sz w:val="28"/>
                <w:szCs w:val="28"/>
              </w:rPr>
            </w:pPr>
            <w:r>
              <w:rPr>
                <w:rFonts w:ascii="仿宋_GB2312" w:eastAsia="仿宋_GB2312" w:hint="eastAsia"/>
                <w:bCs/>
                <w:sz w:val="28"/>
                <w:szCs w:val="28"/>
              </w:rPr>
              <w:t>YJ115T-5</w:t>
            </w:r>
          </w:p>
        </w:tc>
        <w:tc>
          <w:tcPr>
            <w:tcW w:w="946" w:type="dxa"/>
            <w:vAlign w:val="center"/>
          </w:tcPr>
          <w:p w14:paraId="0A4D3BC7" w14:textId="77777777" w:rsidR="000B2A86" w:rsidRDefault="00B66DB0">
            <w:pPr>
              <w:rPr>
                <w:rFonts w:ascii="仿宋_GB2312" w:eastAsia="仿宋_GB2312"/>
                <w:bCs/>
                <w:sz w:val="28"/>
                <w:szCs w:val="28"/>
              </w:rPr>
            </w:pPr>
            <w:r>
              <w:rPr>
                <w:rFonts w:ascii="仿宋_GB2312" w:eastAsia="仿宋_GB2312" w:hint="eastAsia"/>
                <w:bCs/>
                <w:sz w:val="28"/>
                <w:szCs w:val="28"/>
              </w:rPr>
              <w:t>1</w:t>
            </w:r>
          </w:p>
        </w:tc>
        <w:tc>
          <w:tcPr>
            <w:tcW w:w="945" w:type="dxa"/>
            <w:vAlign w:val="center"/>
          </w:tcPr>
          <w:p w14:paraId="4FFAFEA9" w14:textId="77777777" w:rsidR="000B2A86" w:rsidRDefault="00B66DB0">
            <w:pPr>
              <w:rPr>
                <w:rFonts w:ascii="仿宋_GB2312" w:eastAsia="仿宋_GB2312"/>
                <w:bCs/>
                <w:sz w:val="28"/>
                <w:szCs w:val="28"/>
              </w:rPr>
            </w:pPr>
            <w:r>
              <w:rPr>
                <w:rFonts w:ascii="仿宋_GB2312" w:eastAsia="仿宋_GB2312" w:hint="eastAsia"/>
                <w:bCs/>
                <w:sz w:val="28"/>
                <w:szCs w:val="28"/>
              </w:rPr>
              <w:t>13179.08</w:t>
            </w:r>
          </w:p>
        </w:tc>
        <w:tc>
          <w:tcPr>
            <w:tcW w:w="946" w:type="dxa"/>
            <w:vAlign w:val="center"/>
          </w:tcPr>
          <w:p w14:paraId="6B086A2A" w14:textId="77777777" w:rsidR="000B2A86" w:rsidRDefault="00B66DB0">
            <w:pPr>
              <w:rPr>
                <w:rFonts w:ascii="仿宋_GB2312" w:eastAsia="仿宋_GB2312"/>
                <w:bCs/>
                <w:sz w:val="28"/>
                <w:szCs w:val="28"/>
              </w:rPr>
            </w:pPr>
            <w:r>
              <w:rPr>
                <w:rFonts w:ascii="仿宋_GB2312" w:eastAsia="仿宋_GB2312" w:hint="eastAsia"/>
                <w:bCs/>
                <w:sz w:val="28"/>
                <w:szCs w:val="28"/>
              </w:rPr>
              <w:t>13179.08</w:t>
            </w:r>
          </w:p>
        </w:tc>
        <w:tc>
          <w:tcPr>
            <w:tcW w:w="946" w:type="dxa"/>
            <w:vAlign w:val="center"/>
          </w:tcPr>
          <w:p w14:paraId="3CDDC61E" w14:textId="77777777" w:rsidR="000B2A86" w:rsidRDefault="00B66DB0">
            <w:pPr>
              <w:rPr>
                <w:rFonts w:ascii="仿宋_GB2312" w:eastAsia="仿宋_GB2312"/>
                <w:bCs/>
                <w:sz w:val="28"/>
                <w:szCs w:val="28"/>
              </w:rPr>
            </w:pPr>
            <w:r>
              <w:rPr>
                <w:rFonts w:ascii="仿宋_GB2312" w:eastAsia="仿宋_GB2312" w:hint="eastAsia"/>
                <w:bCs/>
                <w:sz w:val="28"/>
                <w:szCs w:val="28"/>
              </w:rPr>
              <w:t>17</w:t>
            </w:r>
          </w:p>
        </w:tc>
        <w:tc>
          <w:tcPr>
            <w:tcW w:w="946" w:type="dxa"/>
            <w:vAlign w:val="center"/>
          </w:tcPr>
          <w:p w14:paraId="2306464A" w14:textId="77777777" w:rsidR="000B2A86" w:rsidRDefault="00B66DB0">
            <w:pPr>
              <w:rPr>
                <w:rFonts w:ascii="仿宋_GB2312" w:eastAsia="仿宋_GB2312"/>
                <w:bCs/>
                <w:sz w:val="28"/>
                <w:szCs w:val="28"/>
              </w:rPr>
            </w:pPr>
            <w:r>
              <w:rPr>
                <w:rFonts w:ascii="仿宋_GB2312" w:eastAsia="仿宋_GB2312" w:hint="eastAsia"/>
                <w:bCs/>
                <w:sz w:val="28"/>
                <w:szCs w:val="28"/>
              </w:rPr>
              <w:t>1</w:t>
            </w:r>
          </w:p>
        </w:tc>
        <w:tc>
          <w:tcPr>
            <w:tcW w:w="946" w:type="dxa"/>
            <w:vAlign w:val="center"/>
          </w:tcPr>
          <w:p w14:paraId="42C3531C" w14:textId="77777777" w:rsidR="000B2A86" w:rsidRDefault="00B66DB0">
            <w:pPr>
              <w:rPr>
                <w:rFonts w:ascii="仿宋_GB2312" w:eastAsia="仿宋_GB2312"/>
                <w:bCs/>
                <w:sz w:val="28"/>
                <w:szCs w:val="28"/>
              </w:rPr>
            </w:pPr>
            <w:r>
              <w:rPr>
                <w:rFonts w:ascii="仿宋_GB2312" w:eastAsia="仿宋_GB2312" w:hint="eastAsia"/>
                <w:bCs/>
                <w:sz w:val="28"/>
                <w:szCs w:val="28"/>
              </w:rPr>
              <w:t>CFG</w:t>
            </w:r>
            <w:r>
              <w:rPr>
                <w:rFonts w:ascii="仿宋_GB2312" w:eastAsia="仿宋_GB2312" w:hint="eastAsia"/>
                <w:bCs/>
                <w:sz w:val="28"/>
                <w:szCs w:val="28"/>
              </w:rPr>
              <w:t>桩加筏板基础</w:t>
            </w:r>
          </w:p>
        </w:tc>
        <w:tc>
          <w:tcPr>
            <w:tcW w:w="946" w:type="dxa"/>
            <w:vAlign w:val="center"/>
          </w:tcPr>
          <w:p w14:paraId="5A5824EC" w14:textId="77777777" w:rsidR="000B2A86" w:rsidRDefault="00B66DB0">
            <w:pPr>
              <w:rPr>
                <w:rFonts w:ascii="仿宋_GB2312" w:eastAsia="仿宋_GB2312"/>
                <w:bCs/>
                <w:sz w:val="28"/>
                <w:szCs w:val="28"/>
              </w:rPr>
            </w:pPr>
            <w:r>
              <w:rPr>
                <w:rFonts w:ascii="仿宋_GB2312" w:eastAsia="仿宋_GB2312" w:hint="eastAsia"/>
                <w:bCs/>
                <w:sz w:val="28"/>
                <w:szCs w:val="28"/>
              </w:rPr>
              <w:t>剪力墙</w:t>
            </w:r>
          </w:p>
        </w:tc>
        <w:tc>
          <w:tcPr>
            <w:tcW w:w="946" w:type="dxa"/>
            <w:vAlign w:val="center"/>
          </w:tcPr>
          <w:p w14:paraId="028D6414" w14:textId="77777777" w:rsidR="000B2A86" w:rsidRDefault="00B66DB0">
            <w:pPr>
              <w:rPr>
                <w:rFonts w:ascii="仿宋_GB2312" w:eastAsia="仿宋_GB2312"/>
                <w:bCs/>
                <w:sz w:val="28"/>
                <w:szCs w:val="28"/>
              </w:rPr>
            </w:pPr>
            <w:r>
              <w:rPr>
                <w:rFonts w:ascii="仿宋_GB2312" w:eastAsia="仿宋_GB2312" w:hint="eastAsia"/>
                <w:bCs/>
                <w:sz w:val="28"/>
                <w:szCs w:val="28"/>
              </w:rPr>
              <w:t>21#</w:t>
            </w:r>
          </w:p>
        </w:tc>
        <w:tc>
          <w:tcPr>
            <w:tcW w:w="946" w:type="dxa"/>
            <w:vAlign w:val="center"/>
          </w:tcPr>
          <w:p w14:paraId="05450DCA" w14:textId="77777777" w:rsidR="000B2A86" w:rsidRDefault="00B66DB0">
            <w:pPr>
              <w:rPr>
                <w:rFonts w:ascii="仿宋_GB2312" w:eastAsia="仿宋_GB2312"/>
                <w:bCs/>
                <w:sz w:val="28"/>
                <w:szCs w:val="28"/>
              </w:rPr>
            </w:pPr>
            <w:r>
              <w:rPr>
                <w:rFonts w:ascii="仿宋_GB2312" w:eastAsia="仿宋_GB2312" w:hint="eastAsia"/>
                <w:bCs/>
                <w:sz w:val="28"/>
                <w:szCs w:val="28"/>
              </w:rPr>
              <w:t>精装修</w:t>
            </w:r>
          </w:p>
        </w:tc>
      </w:tr>
      <w:tr w:rsidR="000B2A86" w14:paraId="164BDAB6" w14:textId="77777777">
        <w:tc>
          <w:tcPr>
            <w:tcW w:w="945" w:type="dxa"/>
            <w:vAlign w:val="center"/>
          </w:tcPr>
          <w:p w14:paraId="2A9E16C5" w14:textId="77777777" w:rsidR="000B2A86" w:rsidRDefault="00B66DB0">
            <w:pPr>
              <w:rPr>
                <w:rFonts w:ascii="仿宋_GB2312" w:eastAsia="仿宋_GB2312"/>
                <w:bCs/>
                <w:sz w:val="28"/>
                <w:szCs w:val="28"/>
              </w:rPr>
            </w:pPr>
            <w:r>
              <w:rPr>
                <w:rFonts w:ascii="仿宋_GB2312" w:eastAsia="仿宋_GB2312" w:hint="eastAsia"/>
                <w:bCs/>
                <w:sz w:val="28"/>
                <w:szCs w:val="28"/>
              </w:rPr>
              <w:t>合计</w:t>
            </w:r>
          </w:p>
        </w:tc>
        <w:tc>
          <w:tcPr>
            <w:tcW w:w="946" w:type="dxa"/>
            <w:vAlign w:val="center"/>
          </w:tcPr>
          <w:p w14:paraId="0DDC5CA9" w14:textId="77777777" w:rsidR="000B2A86" w:rsidRDefault="000B2A86">
            <w:pPr>
              <w:rPr>
                <w:rFonts w:ascii="仿宋_GB2312" w:eastAsia="仿宋_GB2312"/>
                <w:bCs/>
                <w:sz w:val="28"/>
                <w:szCs w:val="28"/>
              </w:rPr>
            </w:pPr>
          </w:p>
        </w:tc>
        <w:tc>
          <w:tcPr>
            <w:tcW w:w="945" w:type="dxa"/>
            <w:vAlign w:val="center"/>
          </w:tcPr>
          <w:p w14:paraId="59DB71BF" w14:textId="77777777" w:rsidR="000B2A86" w:rsidRDefault="000B2A86">
            <w:pPr>
              <w:rPr>
                <w:rFonts w:ascii="仿宋_GB2312" w:eastAsia="仿宋_GB2312"/>
                <w:bCs/>
                <w:sz w:val="28"/>
                <w:szCs w:val="28"/>
              </w:rPr>
            </w:pPr>
          </w:p>
        </w:tc>
        <w:tc>
          <w:tcPr>
            <w:tcW w:w="946" w:type="dxa"/>
            <w:vAlign w:val="center"/>
          </w:tcPr>
          <w:p w14:paraId="52A7889F" w14:textId="77777777" w:rsidR="000B2A86" w:rsidRDefault="00B66DB0">
            <w:pPr>
              <w:rPr>
                <w:rFonts w:ascii="仿宋_GB2312" w:eastAsia="仿宋_GB2312"/>
                <w:bCs/>
                <w:sz w:val="28"/>
                <w:szCs w:val="28"/>
              </w:rPr>
            </w:pPr>
            <w:r>
              <w:rPr>
                <w:rFonts w:ascii="仿宋_GB2312" w:eastAsia="仿宋_GB2312" w:hint="eastAsia"/>
                <w:bCs/>
                <w:sz w:val="28"/>
                <w:szCs w:val="28"/>
              </w:rPr>
              <w:t>42223.06</w:t>
            </w:r>
          </w:p>
        </w:tc>
        <w:tc>
          <w:tcPr>
            <w:tcW w:w="946" w:type="dxa"/>
            <w:vAlign w:val="center"/>
          </w:tcPr>
          <w:p w14:paraId="00312C9C" w14:textId="77777777" w:rsidR="000B2A86" w:rsidRDefault="000B2A86">
            <w:pPr>
              <w:rPr>
                <w:rFonts w:ascii="仿宋_GB2312" w:eastAsia="仿宋_GB2312"/>
                <w:bCs/>
                <w:sz w:val="28"/>
                <w:szCs w:val="28"/>
              </w:rPr>
            </w:pPr>
          </w:p>
        </w:tc>
        <w:tc>
          <w:tcPr>
            <w:tcW w:w="946" w:type="dxa"/>
            <w:vAlign w:val="center"/>
          </w:tcPr>
          <w:p w14:paraId="7988FEE9" w14:textId="77777777" w:rsidR="000B2A86" w:rsidRDefault="000B2A86">
            <w:pPr>
              <w:rPr>
                <w:rFonts w:ascii="仿宋_GB2312" w:eastAsia="仿宋_GB2312"/>
                <w:bCs/>
                <w:sz w:val="28"/>
                <w:szCs w:val="28"/>
              </w:rPr>
            </w:pPr>
          </w:p>
        </w:tc>
        <w:tc>
          <w:tcPr>
            <w:tcW w:w="946" w:type="dxa"/>
            <w:vAlign w:val="center"/>
          </w:tcPr>
          <w:p w14:paraId="17A8313A" w14:textId="77777777" w:rsidR="000B2A86" w:rsidRDefault="000B2A86">
            <w:pPr>
              <w:rPr>
                <w:rFonts w:ascii="仿宋_GB2312" w:eastAsia="仿宋_GB2312"/>
                <w:bCs/>
                <w:sz w:val="28"/>
                <w:szCs w:val="28"/>
              </w:rPr>
            </w:pPr>
          </w:p>
        </w:tc>
        <w:tc>
          <w:tcPr>
            <w:tcW w:w="946" w:type="dxa"/>
            <w:vAlign w:val="center"/>
          </w:tcPr>
          <w:p w14:paraId="2A75343F" w14:textId="77777777" w:rsidR="000B2A86" w:rsidRDefault="000B2A86">
            <w:pPr>
              <w:rPr>
                <w:rFonts w:ascii="仿宋_GB2312" w:eastAsia="仿宋_GB2312"/>
                <w:bCs/>
                <w:sz w:val="28"/>
                <w:szCs w:val="28"/>
              </w:rPr>
            </w:pPr>
          </w:p>
        </w:tc>
        <w:tc>
          <w:tcPr>
            <w:tcW w:w="946" w:type="dxa"/>
            <w:vAlign w:val="center"/>
          </w:tcPr>
          <w:p w14:paraId="6D6214DF" w14:textId="77777777" w:rsidR="000B2A86" w:rsidRDefault="000B2A86">
            <w:pPr>
              <w:rPr>
                <w:rFonts w:ascii="仿宋_GB2312" w:eastAsia="仿宋_GB2312"/>
                <w:bCs/>
                <w:sz w:val="28"/>
                <w:szCs w:val="28"/>
              </w:rPr>
            </w:pPr>
          </w:p>
        </w:tc>
        <w:tc>
          <w:tcPr>
            <w:tcW w:w="946" w:type="dxa"/>
            <w:vAlign w:val="center"/>
          </w:tcPr>
          <w:p w14:paraId="66C7B3DC" w14:textId="77777777" w:rsidR="000B2A86" w:rsidRDefault="000B2A86">
            <w:pPr>
              <w:rPr>
                <w:rFonts w:ascii="仿宋_GB2312" w:eastAsia="仿宋_GB2312"/>
                <w:bCs/>
                <w:sz w:val="28"/>
                <w:szCs w:val="28"/>
              </w:rPr>
            </w:pPr>
          </w:p>
        </w:tc>
      </w:tr>
    </w:tbl>
    <w:p w14:paraId="77123F25" w14:textId="77777777" w:rsidR="000B2A86" w:rsidRDefault="000B2A86">
      <w:pPr>
        <w:ind w:firstLineChars="200" w:firstLine="560"/>
        <w:rPr>
          <w:rFonts w:ascii="仿宋_GB2312" w:eastAsia="仿宋_GB2312"/>
          <w:bCs/>
          <w:sz w:val="28"/>
          <w:szCs w:val="28"/>
        </w:rPr>
      </w:pPr>
    </w:p>
    <w:p w14:paraId="120D7624" w14:textId="77777777" w:rsidR="000B2A86" w:rsidRDefault="00B66DB0">
      <w:pPr>
        <w:pStyle w:val="20"/>
        <w:spacing w:before="156" w:after="156"/>
      </w:pPr>
      <w:bookmarkStart w:id="8" w:name="_Toc440720075"/>
      <w:bookmarkStart w:id="9" w:name="_Toc7355"/>
      <w:bookmarkEnd w:id="7"/>
      <w:r>
        <w:rPr>
          <w:rFonts w:hint="eastAsia"/>
        </w:rPr>
        <w:t>2.</w:t>
      </w:r>
      <w:r>
        <w:rPr>
          <w:rFonts w:hint="eastAsia"/>
        </w:rPr>
        <w:t>2</w:t>
      </w:r>
      <w:r>
        <w:rPr>
          <w:rFonts w:hint="eastAsia"/>
        </w:rPr>
        <w:t>五方责任主体</w:t>
      </w:r>
      <w:bookmarkEnd w:id="8"/>
      <w:bookmarkEnd w:id="9"/>
    </w:p>
    <w:p w14:paraId="2979F4C2" w14:textId="77777777" w:rsidR="000B2A86" w:rsidRDefault="00B66DB0">
      <w:pPr>
        <w:ind w:firstLineChars="200" w:firstLine="560"/>
        <w:rPr>
          <w:rFonts w:ascii="仿宋_GB2312" w:eastAsia="仿宋_GB2312"/>
          <w:bCs/>
          <w:sz w:val="28"/>
          <w:szCs w:val="28"/>
        </w:rPr>
      </w:pPr>
      <w:bookmarkStart w:id="10" w:name="_Toc440720076"/>
      <w:r>
        <w:rPr>
          <w:rFonts w:ascii="仿宋_GB2312" w:eastAsia="仿宋_GB2312" w:hint="eastAsia"/>
          <w:bCs/>
          <w:sz w:val="28"/>
          <w:szCs w:val="28"/>
        </w:rPr>
        <w:t>建设单位：</w:t>
      </w:r>
      <w:r>
        <w:rPr>
          <w:rFonts w:ascii="仿宋_GB2312" w:eastAsia="仿宋_GB2312" w:hint="eastAsia"/>
          <w:bCs/>
          <w:sz w:val="28"/>
          <w:szCs w:val="28"/>
        </w:rPr>
        <w:t xml:space="preserve"> </w:t>
      </w:r>
      <w:r>
        <w:rPr>
          <w:rFonts w:ascii="仿宋_GB2312" w:eastAsia="仿宋_GB2312" w:hint="eastAsia"/>
          <w:bCs/>
          <w:sz w:val="28"/>
          <w:szCs w:val="28"/>
        </w:rPr>
        <w:t>遵化市碧桂园房地产开发有限公司</w:t>
      </w:r>
      <w:r>
        <w:rPr>
          <w:rFonts w:ascii="仿宋_GB2312" w:eastAsia="仿宋_GB2312" w:hint="eastAsia"/>
          <w:bCs/>
          <w:sz w:val="28"/>
          <w:szCs w:val="28"/>
        </w:rPr>
        <w:t xml:space="preserve"> </w:t>
      </w:r>
    </w:p>
    <w:p w14:paraId="46AF7A5D"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监理单位：</w:t>
      </w:r>
      <w:r>
        <w:rPr>
          <w:rFonts w:ascii="仿宋_GB2312" w:eastAsia="仿宋_GB2312" w:hint="eastAsia"/>
          <w:bCs/>
          <w:sz w:val="28"/>
          <w:szCs w:val="28"/>
        </w:rPr>
        <w:t xml:space="preserve"> </w:t>
      </w:r>
      <w:r>
        <w:rPr>
          <w:rFonts w:ascii="仿宋_GB2312" w:eastAsia="仿宋_GB2312" w:hint="eastAsia"/>
          <w:bCs/>
          <w:sz w:val="28"/>
          <w:szCs w:val="28"/>
        </w:rPr>
        <w:t>玉田振兴工程建设管理与招标有限公司</w:t>
      </w:r>
    </w:p>
    <w:p w14:paraId="54F60AFD"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lastRenderedPageBreak/>
        <w:t>施工单位：</w:t>
      </w:r>
      <w:r>
        <w:rPr>
          <w:rFonts w:ascii="仿宋_GB2312" w:eastAsia="仿宋_GB2312" w:hint="eastAsia"/>
          <w:bCs/>
          <w:sz w:val="28"/>
          <w:szCs w:val="28"/>
        </w:rPr>
        <w:t xml:space="preserve"> </w:t>
      </w:r>
      <w:r>
        <w:rPr>
          <w:rFonts w:ascii="仿宋_GB2312" w:eastAsia="仿宋_GB2312" w:hint="eastAsia"/>
          <w:bCs/>
          <w:sz w:val="28"/>
          <w:szCs w:val="28"/>
        </w:rPr>
        <w:t>中冶天工集团有限公司</w:t>
      </w:r>
      <w:r>
        <w:rPr>
          <w:rFonts w:ascii="仿宋_GB2312" w:eastAsia="仿宋_GB2312" w:hint="eastAsia"/>
          <w:bCs/>
          <w:sz w:val="28"/>
          <w:szCs w:val="28"/>
        </w:rPr>
        <w:t xml:space="preserve">          </w:t>
      </w:r>
    </w:p>
    <w:p w14:paraId="7E107781"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设计单位：</w:t>
      </w:r>
      <w:r>
        <w:rPr>
          <w:rFonts w:ascii="仿宋_GB2312" w:eastAsia="仿宋_GB2312" w:hint="eastAsia"/>
          <w:bCs/>
          <w:sz w:val="28"/>
          <w:szCs w:val="28"/>
        </w:rPr>
        <w:t xml:space="preserve"> </w:t>
      </w:r>
      <w:r>
        <w:rPr>
          <w:rFonts w:ascii="仿宋_GB2312" w:eastAsia="仿宋_GB2312" w:hint="eastAsia"/>
          <w:bCs/>
          <w:sz w:val="28"/>
          <w:szCs w:val="28"/>
        </w:rPr>
        <w:t>广东博意建筑设计院有限公司</w:t>
      </w:r>
      <w:r>
        <w:rPr>
          <w:rFonts w:ascii="仿宋_GB2312" w:eastAsia="仿宋_GB2312" w:hint="eastAsia"/>
          <w:bCs/>
          <w:sz w:val="28"/>
          <w:szCs w:val="28"/>
        </w:rPr>
        <w:t xml:space="preserve">     </w:t>
      </w:r>
    </w:p>
    <w:p w14:paraId="58C589C5"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勘查单位：</w:t>
      </w:r>
      <w:r>
        <w:rPr>
          <w:rFonts w:ascii="仿宋_GB2312" w:eastAsia="仿宋_GB2312" w:hint="eastAsia"/>
          <w:bCs/>
          <w:sz w:val="28"/>
          <w:szCs w:val="28"/>
        </w:rPr>
        <w:t xml:space="preserve"> </w:t>
      </w:r>
      <w:r>
        <w:rPr>
          <w:rFonts w:ascii="仿宋_GB2312" w:eastAsia="仿宋_GB2312" w:hint="eastAsia"/>
          <w:bCs/>
          <w:sz w:val="28"/>
          <w:szCs w:val="28"/>
        </w:rPr>
        <w:t>河北益坤岩土工程新技术有限公司</w:t>
      </w:r>
      <w:r>
        <w:rPr>
          <w:rFonts w:ascii="仿宋_GB2312" w:eastAsia="仿宋_GB2312" w:hint="eastAsia"/>
          <w:bCs/>
          <w:sz w:val="28"/>
          <w:szCs w:val="28"/>
        </w:rPr>
        <w:t xml:space="preserve"> </w:t>
      </w:r>
    </w:p>
    <w:p w14:paraId="2D4338CA" w14:textId="77777777" w:rsidR="000B2A86" w:rsidRDefault="00B66DB0">
      <w:pPr>
        <w:pStyle w:val="10"/>
        <w:spacing w:before="156" w:after="312"/>
      </w:pPr>
      <w:bookmarkStart w:id="11" w:name="_Toc440720077"/>
      <w:bookmarkStart w:id="12" w:name="_Toc25384"/>
      <w:bookmarkEnd w:id="10"/>
      <w:r>
        <w:rPr>
          <w:rFonts w:hint="eastAsia"/>
        </w:rPr>
        <w:t>3</w:t>
      </w:r>
      <w:r>
        <w:rPr>
          <w:rFonts w:hint="eastAsia"/>
        </w:rPr>
        <w:t>、组织管理</w:t>
      </w:r>
      <w:bookmarkEnd w:id="11"/>
      <w:bookmarkEnd w:id="12"/>
    </w:p>
    <w:p w14:paraId="06E65848"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项目成立扬尘治理领导小组</w:t>
      </w:r>
    </w:p>
    <w:p w14:paraId="4DD56CCA"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组</w:t>
      </w:r>
      <w:r>
        <w:rPr>
          <w:rFonts w:ascii="仿宋_GB2312" w:eastAsia="仿宋_GB2312" w:hint="eastAsia"/>
          <w:bCs/>
          <w:sz w:val="28"/>
          <w:szCs w:val="28"/>
        </w:rPr>
        <w:t>长：</w:t>
      </w:r>
      <w:r>
        <w:rPr>
          <w:rFonts w:ascii="仿宋_GB2312" w:eastAsia="仿宋_GB2312" w:hint="eastAsia"/>
          <w:bCs/>
          <w:sz w:val="28"/>
          <w:szCs w:val="28"/>
        </w:rPr>
        <w:t>杨有清</w:t>
      </w:r>
    </w:p>
    <w:p w14:paraId="0FBB68CA"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副</w:t>
      </w:r>
      <w:r>
        <w:rPr>
          <w:rFonts w:ascii="仿宋_GB2312" w:eastAsia="仿宋_GB2312" w:hint="eastAsia"/>
          <w:bCs/>
          <w:sz w:val="28"/>
          <w:szCs w:val="28"/>
        </w:rPr>
        <w:t>组</w:t>
      </w:r>
      <w:r>
        <w:rPr>
          <w:rFonts w:ascii="仿宋_GB2312" w:eastAsia="仿宋_GB2312" w:hint="eastAsia"/>
          <w:bCs/>
          <w:sz w:val="28"/>
          <w:szCs w:val="28"/>
        </w:rPr>
        <w:t>长：</w:t>
      </w:r>
      <w:r>
        <w:rPr>
          <w:rFonts w:ascii="仿宋_GB2312" w:eastAsia="仿宋_GB2312" w:hint="eastAsia"/>
          <w:bCs/>
          <w:sz w:val="28"/>
          <w:szCs w:val="28"/>
        </w:rPr>
        <w:t>南宁平</w:t>
      </w:r>
      <w:r>
        <w:rPr>
          <w:rFonts w:ascii="仿宋_GB2312" w:eastAsia="仿宋_GB2312" w:hint="eastAsia"/>
          <w:bCs/>
          <w:sz w:val="28"/>
          <w:szCs w:val="28"/>
        </w:rPr>
        <w:t>、</w:t>
      </w:r>
      <w:r>
        <w:rPr>
          <w:rFonts w:ascii="仿宋_GB2312" w:eastAsia="仿宋_GB2312" w:hint="eastAsia"/>
          <w:bCs/>
          <w:sz w:val="28"/>
          <w:szCs w:val="28"/>
        </w:rPr>
        <w:t>王丽</w:t>
      </w:r>
      <w:r>
        <w:rPr>
          <w:rFonts w:ascii="仿宋_GB2312" w:eastAsia="仿宋_GB2312" w:hint="eastAsia"/>
          <w:bCs/>
          <w:sz w:val="28"/>
          <w:szCs w:val="28"/>
        </w:rPr>
        <w:t>、</w:t>
      </w:r>
      <w:r>
        <w:rPr>
          <w:rFonts w:ascii="仿宋_GB2312" w:eastAsia="仿宋_GB2312" w:hint="eastAsia"/>
          <w:bCs/>
          <w:sz w:val="28"/>
          <w:szCs w:val="28"/>
        </w:rPr>
        <w:t>王素芳</w:t>
      </w:r>
    </w:p>
    <w:p w14:paraId="23AFB3F9"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成员：</w:t>
      </w:r>
      <w:r>
        <w:rPr>
          <w:rFonts w:ascii="仿宋_GB2312" w:eastAsia="仿宋_GB2312" w:hint="eastAsia"/>
          <w:bCs/>
          <w:sz w:val="28"/>
          <w:szCs w:val="28"/>
        </w:rPr>
        <w:t>刘永富</w:t>
      </w:r>
      <w:r>
        <w:rPr>
          <w:rFonts w:ascii="仿宋_GB2312" w:eastAsia="仿宋_GB2312" w:hint="eastAsia"/>
          <w:bCs/>
          <w:sz w:val="28"/>
          <w:szCs w:val="28"/>
        </w:rPr>
        <w:t>、董宇超、</w:t>
      </w:r>
      <w:r>
        <w:rPr>
          <w:rFonts w:ascii="仿宋_GB2312" w:eastAsia="仿宋_GB2312" w:hint="eastAsia"/>
          <w:bCs/>
          <w:sz w:val="28"/>
          <w:szCs w:val="28"/>
        </w:rPr>
        <w:t>张财</w:t>
      </w:r>
      <w:r>
        <w:rPr>
          <w:rFonts w:ascii="仿宋_GB2312" w:eastAsia="仿宋_GB2312" w:hint="eastAsia"/>
          <w:bCs/>
          <w:sz w:val="28"/>
          <w:szCs w:val="28"/>
        </w:rPr>
        <w:t>、</w:t>
      </w:r>
      <w:r>
        <w:rPr>
          <w:rFonts w:ascii="仿宋_GB2312" w:eastAsia="仿宋_GB2312" w:hint="eastAsia"/>
          <w:bCs/>
          <w:sz w:val="28"/>
          <w:szCs w:val="28"/>
        </w:rPr>
        <w:t>赵若冰</w:t>
      </w:r>
      <w:r>
        <w:rPr>
          <w:rFonts w:ascii="仿宋_GB2312" w:eastAsia="仿宋_GB2312" w:hint="eastAsia"/>
          <w:bCs/>
          <w:sz w:val="28"/>
          <w:szCs w:val="28"/>
        </w:rPr>
        <w:t>、</w:t>
      </w:r>
      <w:r>
        <w:rPr>
          <w:rFonts w:ascii="仿宋_GB2312" w:eastAsia="仿宋_GB2312" w:hint="eastAsia"/>
          <w:bCs/>
          <w:sz w:val="28"/>
          <w:szCs w:val="28"/>
        </w:rPr>
        <w:t>李旭珍</w:t>
      </w:r>
      <w:r>
        <w:rPr>
          <w:rFonts w:ascii="仿宋_GB2312" w:eastAsia="仿宋_GB2312" w:hint="eastAsia"/>
          <w:bCs/>
          <w:sz w:val="28"/>
          <w:szCs w:val="28"/>
        </w:rPr>
        <w:t>、</w:t>
      </w:r>
      <w:r>
        <w:rPr>
          <w:rFonts w:ascii="仿宋_GB2312" w:eastAsia="仿宋_GB2312" w:hint="eastAsia"/>
          <w:bCs/>
          <w:sz w:val="28"/>
          <w:szCs w:val="28"/>
        </w:rPr>
        <w:t>李雪</w:t>
      </w:r>
      <w:r>
        <w:rPr>
          <w:rFonts w:ascii="仿宋_GB2312" w:eastAsia="仿宋_GB2312" w:hint="eastAsia"/>
          <w:bCs/>
          <w:sz w:val="28"/>
          <w:szCs w:val="28"/>
        </w:rPr>
        <w:t>、</w:t>
      </w:r>
      <w:r>
        <w:rPr>
          <w:rFonts w:ascii="仿宋_GB2312" w:eastAsia="仿宋_GB2312" w:hint="eastAsia"/>
          <w:bCs/>
          <w:sz w:val="28"/>
          <w:szCs w:val="28"/>
        </w:rPr>
        <w:t>王聪</w:t>
      </w:r>
      <w:r>
        <w:rPr>
          <w:rFonts w:ascii="仿宋_GB2312" w:eastAsia="仿宋_GB2312" w:hint="eastAsia"/>
          <w:bCs/>
          <w:sz w:val="28"/>
          <w:szCs w:val="28"/>
        </w:rPr>
        <w:t>、</w:t>
      </w:r>
      <w:r>
        <w:rPr>
          <w:rFonts w:ascii="仿宋_GB2312" w:eastAsia="仿宋_GB2312" w:hint="eastAsia"/>
          <w:bCs/>
          <w:sz w:val="28"/>
          <w:szCs w:val="28"/>
        </w:rPr>
        <w:t>杨晓雪</w:t>
      </w:r>
      <w:r>
        <w:rPr>
          <w:rFonts w:ascii="仿宋_GB2312" w:eastAsia="仿宋_GB2312" w:hint="eastAsia"/>
          <w:bCs/>
          <w:sz w:val="28"/>
          <w:szCs w:val="28"/>
        </w:rPr>
        <w:t>、郭淑霞</w:t>
      </w:r>
    </w:p>
    <w:p w14:paraId="26981FD7"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明确机构中各岗位的职责和权限，建立并保持一套工作程序，对所有参与体系工作的人员进行相应的培训。建立施工现场环保自我保证体系，做到责任落实到人。</w:t>
      </w:r>
    </w:p>
    <w:p w14:paraId="350A406A"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项目经理</w:t>
      </w:r>
      <w:r>
        <w:rPr>
          <w:rFonts w:ascii="仿宋_GB2312" w:eastAsia="仿宋_GB2312" w:hint="eastAsia"/>
          <w:bCs/>
          <w:sz w:val="28"/>
          <w:szCs w:val="28"/>
        </w:rPr>
        <w:t>杨有清</w:t>
      </w:r>
      <w:r>
        <w:rPr>
          <w:rFonts w:ascii="仿宋_GB2312" w:eastAsia="仿宋_GB2312" w:hint="eastAsia"/>
          <w:bCs/>
          <w:sz w:val="28"/>
          <w:szCs w:val="28"/>
        </w:rPr>
        <w:t>负责监督、检查项目部扬尘控制的实施情况，为扬尘污染控制的第一责任人。项目部负责划分施工责任区，项目副经理、安全员为防治扬尘污染现场监督员。</w:t>
      </w:r>
    </w:p>
    <w:p w14:paraId="6555FD05" w14:textId="77777777" w:rsidR="000B2A86" w:rsidRDefault="00B66DB0">
      <w:pPr>
        <w:pStyle w:val="10"/>
        <w:spacing w:before="156" w:after="312"/>
        <w:rPr>
          <w:rFonts w:ascii="仿宋" w:hAnsi="仿宋"/>
          <w:sz w:val="28"/>
          <w:szCs w:val="28"/>
        </w:rPr>
      </w:pPr>
      <w:bookmarkStart w:id="13" w:name="_Toc149664522"/>
      <w:bookmarkStart w:id="14" w:name="_Toc440720078"/>
      <w:bookmarkStart w:id="15" w:name="_Toc7878"/>
      <w:r>
        <w:rPr>
          <w:rFonts w:hint="eastAsia"/>
        </w:rPr>
        <w:t>4</w:t>
      </w:r>
      <w:r>
        <w:rPr>
          <w:rFonts w:hint="eastAsia"/>
        </w:rPr>
        <w:t>、</w:t>
      </w:r>
      <w:bookmarkEnd w:id="13"/>
      <w:r>
        <w:rPr>
          <w:rFonts w:hint="eastAsia"/>
        </w:rPr>
        <w:t>扬尘控制目标</w:t>
      </w:r>
      <w:bookmarkEnd w:id="14"/>
      <w:bookmarkEnd w:id="15"/>
    </w:p>
    <w:p w14:paraId="2ED892D7"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施工扬尘污染控制达标；</w:t>
      </w:r>
    </w:p>
    <w:p w14:paraId="45861CC5"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无因施工扬尘控制不善造成的上级处罚和通报批评；</w:t>
      </w:r>
    </w:p>
    <w:p w14:paraId="450A832A"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w:t>
      </w:r>
      <w:r>
        <w:rPr>
          <w:rFonts w:ascii="仿宋_GB2312" w:eastAsia="仿宋_GB2312" w:hint="eastAsia"/>
          <w:bCs/>
          <w:sz w:val="28"/>
          <w:szCs w:val="28"/>
        </w:rPr>
        <w:t>1</w:t>
      </w:r>
      <w:r>
        <w:rPr>
          <w:rFonts w:ascii="仿宋_GB2312" w:eastAsia="仿宋_GB2312" w:hint="eastAsia"/>
          <w:bCs/>
          <w:sz w:val="28"/>
          <w:szCs w:val="28"/>
        </w:rPr>
        <w:t>）严格落实建设工程扬尘治理</w:t>
      </w:r>
      <w:r>
        <w:rPr>
          <w:rFonts w:ascii="仿宋_GB2312" w:eastAsia="仿宋_GB2312" w:hint="eastAsia"/>
          <w:bCs/>
          <w:sz w:val="28"/>
          <w:szCs w:val="28"/>
        </w:rPr>
        <w:t>6</w:t>
      </w:r>
      <w:r>
        <w:rPr>
          <w:rFonts w:ascii="仿宋_GB2312" w:eastAsia="仿宋_GB2312" w:hint="eastAsia"/>
          <w:bCs/>
          <w:sz w:val="28"/>
          <w:szCs w:val="28"/>
        </w:rPr>
        <w:t>个</w:t>
      </w:r>
      <w:r>
        <w:rPr>
          <w:rFonts w:ascii="仿宋_GB2312" w:eastAsia="仿宋_GB2312" w:hint="eastAsia"/>
          <w:bCs/>
          <w:sz w:val="28"/>
          <w:szCs w:val="28"/>
        </w:rPr>
        <w:t>100%</w:t>
      </w:r>
      <w:r>
        <w:rPr>
          <w:rFonts w:ascii="仿宋_GB2312" w:eastAsia="仿宋_GB2312" w:hint="eastAsia"/>
          <w:bCs/>
          <w:sz w:val="28"/>
          <w:szCs w:val="28"/>
        </w:rPr>
        <w:t>，即工地周边</w:t>
      </w:r>
      <w:r>
        <w:rPr>
          <w:rFonts w:ascii="仿宋_GB2312" w:eastAsia="仿宋_GB2312" w:hint="eastAsia"/>
          <w:bCs/>
          <w:sz w:val="28"/>
          <w:szCs w:val="28"/>
        </w:rPr>
        <w:t>100%</w:t>
      </w:r>
      <w:r>
        <w:rPr>
          <w:rFonts w:ascii="仿宋_GB2312" w:eastAsia="仿宋_GB2312" w:hint="eastAsia"/>
          <w:bCs/>
          <w:sz w:val="28"/>
          <w:szCs w:val="28"/>
        </w:rPr>
        <w:t>设置围挡、裸土物料</w:t>
      </w:r>
      <w:r>
        <w:rPr>
          <w:rFonts w:ascii="仿宋_GB2312" w:eastAsia="仿宋_GB2312" w:hint="eastAsia"/>
          <w:bCs/>
          <w:sz w:val="28"/>
          <w:szCs w:val="28"/>
        </w:rPr>
        <w:t>100%</w:t>
      </w:r>
      <w:r>
        <w:rPr>
          <w:rFonts w:ascii="仿宋_GB2312" w:eastAsia="仿宋_GB2312" w:hint="eastAsia"/>
          <w:bCs/>
          <w:sz w:val="28"/>
          <w:szCs w:val="28"/>
        </w:rPr>
        <w:t>苫盖、出入车辆</w:t>
      </w:r>
      <w:r>
        <w:rPr>
          <w:rFonts w:ascii="仿宋_GB2312" w:eastAsia="仿宋_GB2312" w:hint="eastAsia"/>
          <w:bCs/>
          <w:sz w:val="28"/>
          <w:szCs w:val="28"/>
        </w:rPr>
        <w:t>100%</w:t>
      </w:r>
      <w:r>
        <w:rPr>
          <w:rFonts w:ascii="仿宋_GB2312" w:eastAsia="仿宋_GB2312" w:hint="eastAsia"/>
          <w:bCs/>
          <w:sz w:val="28"/>
          <w:szCs w:val="28"/>
        </w:rPr>
        <w:t>冲洗、现场路面</w:t>
      </w:r>
      <w:r>
        <w:rPr>
          <w:rFonts w:ascii="仿宋_GB2312" w:eastAsia="仿宋_GB2312" w:hint="eastAsia"/>
          <w:bCs/>
          <w:sz w:val="28"/>
          <w:szCs w:val="28"/>
        </w:rPr>
        <w:t>100%</w:t>
      </w:r>
      <w:r>
        <w:rPr>
          <w:rFonts w:ascii="仿宋_GB2312" w:eastAsia="仿宋_GB2312" w:hint="eastAsia"/>
          <w:bCs/>
          <w:sz w:val="28"/>
          <w:szCs w:val="28"/>
        </w:rPr>
        <w:t>硬化、土方施工</w:t>
      </w:r>
      <w:r>
        <w:rPr>
          <w:rFonts w:ascii="仿宋_GB2312" w:eastAsia="仿宋_GB2312" w:hint="eastAsia"/>
          <w:bCs/>
          <w:sz w:val="28"/>
          <w:szCs w:val="28"/>
        </w:rPr>
        <w:t>100%</w:t>
      </w:r>
      <w:r>
        <w:rPr>
          <w:rFonts w:ascii="仿宋_GB2312" w:eastAsia="仿宋_GB2312" w:hint="eastAsia"/>
          <w:bCs/>
          <w:sz w:val="28"/>
          <w:szCs w:val="28"/>
        </w:rPr>
        <w:t>湿作业、施工现场出入渣土数量</w:t>
      </w:r>
      <w:r>
        <w:rPr>
          <w:rFonts w:ascii="仿宋_GB2312" w:eastAsia="仿宋_GB2312" w:hint="eastAsia"/>
          <w:bCs/>
          <w:sz w:val="28"/>
          <w:szCs w:val="28"/>
        </w:rPr>
        <w:t>100%</w:t>
      </w:r>
      <w:r>
        <w:rPr>
          <w:rFonts w:ascii="仿宋_GB2312" w:eastAsia="仿宋_GB2312" w:hint="eastAsia"/>
          <w:bCs/>
          <w:sz w:val="28"/>
          <w:szCs w:val="28"/>
        </w:rPr>
        <w:t>密闭运输</w:t>
      </w:r>
      <w:r>
        <w:rPr>
          <w:rFonts w:ascii="仿宋_GB2312" w:eastAsia="仿宋_GB2312" w:hint="eastAsia"/>
          <w:bCs/>
          <w:sz w:val="28"/>
          <w:szCs w:val="28"/>
        </w:rPr>
        <w:t>。实现建</w:t>
      </w:r>
      <w:r>
        <w:rPr>
          <w:rFonts w:ascii="仿宋_GB2312" w:eastAsia="仿宋_GB2312" w:hint="eastAsia"/>
          <w:bCs/>
          <w:sz w:val="28"/>
          <w:szCs w:val="28"/>
        </w:rPr>
        <w:lastRenderedPageBreak/>
        <w:t>设施工扬尘治理工作制度化、规范化，持续改善我市环境空气质量。</w:t>
      </w:r>
    </w:p>
    <w:p w14:paraId="3F56B4AE"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w:t>
      </w:r>
      <w:r>
        <w:rPr>
          <w:rFonts w:ascii="仿宋_GB2312" w:eastAsia="仿宋_GB2312" w:hint="eastAsia"/>
          <w:bCs/>
          <w:sz w:val="28"/>
          <w:szCs w:val="28"/>
        </w:rPr>
        <w:t>2</w:t>
      </w:r>
      <w:r>
        <w:rPr>
          <w:rFonts w:ascii="仿宋_GB2312" w:eastAsia="仿宋_GB2312" w:hint="eastAsia"/>
          <w:bCs/>
          <w:sz w:val="28"/>
          <w:szCs w:val="28"/>
        </w:rPr>
        <w:t>）严格保证</w:t>
      </w:r>
      <w:r>
        <w:rPr>
          <w:rFonts w:ascii="仿宋_GB2312" w:eastAsia="仿宋_GB2312" w:hint="eastAsia"/>
          <w:bCs/>
          <w:sz w:val="28"/>
          <w:szCs w:val="28"/>
        </w:rPr>
        <w:t>做到“六个到位”。即：工地围挡必须施做到位；密目网必须围合到位，不能破损、污染；场区道路必须硬化，散体材料及裸露部位必须苫盖到位；现场出入口冲洗设施必须配置到位；禁止现场搅拌混凝土执行到位；文明施工纳入合同管理，确保各项扬尘措施落实到位。</w:t>
      </w:r>
    </w:p>
    <w:p w14:paraId="7C5E498E"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w:t>
      </w:r>
      <w:r>
        <w:rPr>
          <w:rFonts w:ascii="仿宋_GB2312" w:eastAsia="仿宋_GB2312" w:hint="eastAsia"/>
          <w:bCs/>
          <w:sz w:val="28"/>
          <w:szCs w:val="28"/>
        </w:rPr>
        <w:t>3</w:t>
      </w:r>
      <w:r>
        <w:rPr>
          <w:rFonts w:ascii="仿宋_GB2312" w:eastAsia="仿宋_GB2312" w:hint="eastAsia"/>
          <w:bCs/>
          <w:sz w:val="28"/>
          <w:szCs w:val="28"/>
        </w:rPr>
        <w:t>）渣土运输做到“八个严禁”。即：严禁分包给无渣土运输资格的企业；严禁使用无密闭装置车辆运输渣土；严禁无牌照车辆进入工地；严禁不平槽装运车辆驶出工地；严禁帮钩缺失、损坏的车辆进出工地；严禁装运湿泥；严禁不冲洗轮胎的车辆驶出工地；严禁无工地标牌的车辆进出工地。</w:t>
      </w:r>
    </w:p>
    <w:p w14:paraId="4838BE54" w14:textId="77777777" w:rsidR="000B2A86" w:rsidRDefault="00B66DB0">
      <w:pPr>
        <w:pStyle w:val="10"/>
        <w:spacing w:before="156" w:after="312"/>
      </w:pPr>
      <w:bookmarkStart w:id="16" w:name="_Toc21616"/>
      <w:bookmarkStart w:id="17" w:name="_Toc440720079"/>
      <w:r>
        <w:rPr>
          <w:rFonts w:hint="eastAsia"/>
        </w:rPr>
        <w:t>5</w:t>
      </w:r>
      <w:r>
        <w:rPr>
          <w:rFonts w:hint="eastAsia"/>
        </w:rPr>
        <w:t>、管理措</w:t>
      </w:r>
      <w:r>
        <w:rPr>
          <w:rFonts w:hint="eastAsia"/>
        </w:rPr>
        <w:t>施及标准</w:t>
      </w:r>
      <w:bookmarkEnd w:id="16"/>
      <w:bookmarkEnd w:id="17"/>
    </w:p>
    <w:p w14:paraId="43EA6C2A" w14:textId="77777777" w:rsidR="000B2A86" w:rsidRDefault="00B66DB0">
      <w:pPr>
        <w:pStyle w:val="20"/>
        <w:spacing w:before="156" w:after="156"/>
      </w:pPr>
      <w:bookmarkStart w:id="18" w:name="_Toc440720080"/>
      <w:bookmarkStart w:id="19" w:name="_Toc31313"/>
      <w:r>
        <w:rPr>
          <w:rFonts w:hint="eastAsia"/>
        </w:rPr>
        <w:t>5.1</w:t>
      </w:r>
      <w:r>
        <w:rPr>
          <w:rFonts w:hint="eastAsia"/>
        </w:rPr>
        <w:t>工地围挡</w:t>
      </w:r>
      <w:bookmarkEnd w:id="18"/>
      <w:bookmarkEnd w:id="19"/>
    </w:p>
    <w:p w14:paraId="13446452" w14:textId="77777777" w:rsidR="000B2A86" w:rsidRDefault="00B66DB0">
      <w:pPr>
        <w:ind w:firstLineChars="200" w:firstLine="560"/>
        <w:rPr>
          <w:rFonts w:ascii="仿宋_GB2312" w:eastAsia="仿宋_GB2312"/>
          <w:bCs/>
          <w:sz w:val="28"/>
          <w:szCs w:val="28"/>
        </w:rPr>
      </w:pPr>
      <w:r>
        <w:rPr>
          <w:rFonts w:ascii="仿宋_GB2312" w:eastAsia="仿宋_GB2312" w:hint="eastAsia"/>
          <w:bCs/>
          <w:sz w:val="28"/>
          <w:szCs w:val="28"/>
        </w:rPr>
        <w:t>工地围挡严格执行《</w:t>
      </w:r>
      <w:r>
        <w:rPr>
          <w:rFonts w:ascii="仿宋_GB2312" w:eastAsia="仿宋_GB2312" w:hint="eastAsia"/>
          <w:bCs/>
          <w:sz w:val="28"/>
          <w:szCs w:val="28"/>
        </w:rPr>
        <w:t>河北省</w:t>
      </w:r>
      <w:r>
        <w:rPr>
          <w:rFonts w:ascii="仿宋_GB2312" w:eastAsia="仿宋_GB2312" w:hint="eastAsia"/>
          <w:bCs/>
          <w:sz w:val="28"/>
          <w:szCs w:val="28"/>
        </w:rPr>
        <w:t>建设工地围挡标准图集》和《</w:t>
      </w:r>
      <w:r>
        <w:rPr>
          <w:rFonts w:ascii="仿宋_GB2312" w:eastAsia="仿宋_GB2312" w:hint="eastAsia"/>
          <w:bCs/>
          <w:sz w:val="28"/>
          <w:szCs w:val="28"/>
        </w:rPr>
        <w:t>河北省</w:t>
      </w:r>
      <w:r>
        <w:rPr>
          <w:rFonts w:ascii="仿宋_GB2312" w:eastAsia="仿宋_GB2312" w:hint="eastAsia"/>
          <w:bCs/>
          <w:sz w:val="28"/>
          <w:szCs w:val="28"/>
        </w:rPr>
        <w:t>城市轨道交通工程文明施工标准化图集》。采用实体围墙装饰或钢结构架体围挡，有基础和墙帽，围挡根部与地面不能有空隙，必须稳固、安全、整洁、美观。配备夜间照明设备，高度不得小于</w:t>
      </w:r>
      <w:r>
        <w:rPr>
          <w:rFonts w:ascii="仿宋_GB2312" w:eastAsia="仿宋_GB2312" w:hint="eastAsia"/>
          <w:bCs/>
          <w:sz w:val="28"/>
          <w:szCs w:val="28"/>
        </w:rPr>
        <w:t>2.5</w:t>
      </w:r>
      <w:r>
        <w:rPr>
          <w:rFonts w:ascii="仿宋_GB2312" w:eastAsia="仿宋_GB2312" w:hint="eastAsia"/>
          <w:bCs/>
          <w:sz w:val="28"/>
          <w:szCs w:val="28"/>
        </w:rPr>
        <w:t>米。围挡外侧与道路衔接处要采用绿化或者硬化铺装措施。对围挡落尘定期进行清洗，保证施工工地周围环境整洁。</w:t>
      </w:r>
    </w:p>
    <w:p w14:paraId="41C96831" w14:textId="77777777" w:rsidR="000B2A86" w:rsidRDefault="00B66DB0">
      <w:pPr>
        <w:pStyle w:val="20"/>
        <w:spacing w:before="156" w:after="156"/>
      </w:pPr>
      <w:bookmarkStart w:id="20" w:name="_Toc440720081"/>
      <w:bookmarkStart w:id="21" w:name="_Toc29376"/>
      <w:r>
        <w:rPr>
          <w:rFonts w:hint="eastAsia"/>
        </w:rPr>
        <w:t>5.2</w:t>
      </w:r>
      <w:r>
        <w:rPr>
          <w:rFonts w:hint="eastAsia"/>
        </w:rPr>
        <w:t>现场主要道路</w:t>
      </w:r>
      <w:bookmarkEnd w:id="20"/>
      <w:bookmarkEnd w:id="21"/>
    </w:p>
    <w:p w14:paraId="66AF07CD"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建设工程施工现场道路，应当混凝土硬化，并及时清扫洒水降尘，</w:t>
      </w:r>
      <w:r>
        <w:rPr>
          <w:rFonts w:ascii="仿宋" w:eastAsia="仿宋" w:hAnsi="仿宋" w:hint="eastAsia"/>
          <w:sz w:val="28"/>
          <w:szCs w:val="28"/>
        </w:rPr>
        <w:lastRenderedPageBreak/>
        <w:t>达到车辆行驶无扬尘的标准。</w:t>
      </w:r>
    </w:p>
    <w:p w14:paraId="63CB21CE" w14:textId="77777777" w:rsidR="000B2A86" w:rsidRDefault="00B66DB0">
      <w:pPr>
        <w:pStyle w:val="20"/>
        <w:spacing w:before="156" w:after="156"/>
      </w:pPr>
      <w:bookmarkStart w:id="22" w:name="_Toc20274"/>
      <w:r>
        <w:rPr>
          <w:rFonts w:hint="eastAsia"/>
        </w:rPr>
        <w:t>5.3</w:t>
      </w:r>
      <w:r>
        <w:rPr>
          <w:rFonts w:hint="eastAsia"/>
        </w:rPr>
        <w:t>现场扬尘监测设备</w:t>
      </w:r>
      <w:bookmarkEnd w:id="22"/>
    </w:p>
    <w:p w14:paraId="02DCCFFB"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开展建设工地视频监控</w:t>
      </w:r>
      <w:r>
        <w:rPr>
          <w:rFonts w:ascii="仿宋" w:eastAsia="仿宋" w:hAnsi="仿宋" w:hint="eastAsia"/>
          <w:sz w:val="28"/>
          <w:szCs w:val="28"/>
        </w:rPr>
        <w:t>和扬尘监测是控制施工扬尘的重要技防手段。项目部积极响应市委、市政府号召，在工程开工及办理相关安装手续，合理有效使用扬尘监测仪器。</w:t>
      </w:r>
    </w:p>
    <w:p w14:paraId="6C237220" w14:textId="77777777" w:rsidR="000B2A86" w:rsidRDefault="00B66DB0">
      <w:pPr>
        <w:ind w:firstLineChars="200" w:firstLine="420"/>
        <w:rPr>
          <w:rFonts w:ascii="仿宋" w:eastAsia="仿宋" w:hAnsi="仿宋"/>
          <w:sz w:val="28"/>
          <w:szCs w:val="28"/>
        </w:rPr>
      </w:pPr>
      <w:bookmarkStart w:id="23" w:name="_Toc17117"/>
      <w:r>
        <w:rPr>
          <w:rFonts w:hint="eastAsia"/>
        </w:rPr>
        <w:t xml:space="preserve">                 </w:t>
      </w:r>
      <w:r>
        <w:rPr>
          <w:rFonts w:hint="eastAsia"/>
          <w:noProof/>
        </w:rPr>
        <w:drawing>
          <wp:inline distT="0" distB="0" distL="114300" distR="114300" wp14:anchorId="05091A35" wp14:editId="493F11B6">
            <wp:extent cx="2125345" cy="1820545"/>
            <wp:effectExtent l="0" t="0" r="8255" b="8255"/>
            <wp:docPr id="4" name="图片 4" descr="IMG_20160103_08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160103_080052"/>
                    <pic:cNvPicPr>
                      <a:picLocks noChangeAspect="1"/>
                    </pic:cNvPicPr>
                  </pic:nvPicPr>
                  <pic:blipFill>
                    <a:blip r:embed="rId13"/>
                    <a:srcRect/>
                    <a:stretch>
                      <a:fillRect/>
                    </a:stretch>
                  </pic:blipFill>
                  <pic:spPr>
                    <a:xfrm>
                      <a:off x="0" y="0"/>
                      <a:ext cx="2125345" cy="1820545"/>
                    </a:xfrm>
                    <a:prstGeom prst="rect">
                      <a:avLst/>
                    </a:prstGeom>
                    <a:noFill/>
                    <a:ln w="9525">
                      <a:noFill/>
                      <a:miter/>
                    </a:ln>
                  </pic:spPr>
                </pic:pic>
              </a:graphicData>
            </a:graphic>
          </wp:inline>
        </w:drawing>
      </w:r>
      <w:bookmarkEnd w:id="23"/>
    </w:p>
    <w:p w14:paraId="26DE1A55" w14:textId="77777777" w:rsidR="000B2A86" w:rsidRDefault="00B66DB0">
      <w:pPr>
        <w:pStyle w:val="20"/>
        <w:spacing w:before="156" w:after="156"/>
      </w:pPr>
      <w:bookmarkStart w:id="24" w:name="_Toc440720082"/>
      <w:bookmarkStart w:id="25" w:name="_Toc7373"/>
      <w:r>
        <w:rPr>
          <w:rFonts w:hint="eastAsia"/>
        </w:rPr>
        <w:t>5.4</w:t>
      </w:r>
      <w:r>
        <w:rPr>
          <w:rFonts w:hint="eastAsia"/>
        </w:rPr>
        <w:t>工地物料码放、散体材料堆放</w:t>
      </w:r>
      <w:bookmarkEnd w:id="24"/>
      <w:bookmarkEnd w:id="25"/>
    </w:p>
    <w:p w14:paraId="31A4FE3B" w14:textId="77777777" w:rsidR="000B2A86" w:rsidRDefault="00B66DB0">
      <w:pPr>
        <w:numPr>
          <w:ilvl w:val="0"/>
          <w:numId w:val="2"/>
        </w:numPr>
        <w:rPr>
          <w:rFonts w:ascii="仿宋" w:eastAsia="仿宋" w:hAnsi="仿宋"/>
          <w:sz w:val="28"/>
          <w:szCs w:val="28"/>
        </w:rPr>
      </w:pPr>
      <w:r>
        <w:rPr>
          <w:rFonts w:ascii="仿宋" w:eastAsia="仿宋" w:hAnsi="仿宋" w:hint="eastAsia"/>
          <w:sz w:val="28"/>
          <w:szCs w:val="28"/>
        </w:rPr>
        <w:t>裸露场地应当绿化或采用绿色防尘网苫盖。</w:t>
      </w:r>
    </w:p>
    <w:p w14:paraId="21B9DEA0" w14:textId="77777777" w:rsidR="000B2A86" w:rsidRDefault="00B66DB0">
      <w:pPr>
        <w:rPr>
          <w:rFonts w:ascii="仿宋" w:eastAsia="仿宋" w:hAnsi="仿宋"/>
          <w:sz w:val="28"/>
          <w:szCs w:val="28"/>
        </w:rPr>
      </w:pPr>
      <w:r>
        <w:rPr>
          <w:rFonts w:ascii="宋体" w:hAnsi="宋体" w:cs="宋体" w:hint="eastAsia"/>
          <w:kern w:val="0"/>
          <w:sz w:val="24"/>
          <w:lang w:bidi="ar"/>
        </w:rPr>
        <w:t xml:space="preserve">                </w:t>
      </w:r>
      <w:r>
        <w:rPr>
          <w:rFonts w:ascii="宋体" w:hAnsi="宋体" w:cs="宋体"/>
          <w:kern w:val="0"/>
          <w:sz w:val="24"/>
          <w:lang w:bidi="ar"/>
        </w:rPr>
        <w:fldChar w:fldCharType="begin"/>
      </w:r>
      <w:r>
        <w:rPr>
          <w:rFonts w:ascii="宋体" w:hAnsi="宋体" w:cs="宋体"/>
          <w:kern w:val="0"/>
          <w:sz w:val="24"/>
          <w:lang w:bidi="ar"/>
        </w:rPr>
        <w:instrText xml:space="preserve">INCLUDEPICTURE \d "C:\\Users\\t\\Documents\\Tencent Files\\465299668\\Image\\C2C\\7FF834C9DDCDC6F522A8C91301288BA4.jpg" \* MERGEFORMATINET </w:instrText>
      </w:r>
      <w:r>
        <w:rPr>
          <w:rFonts w:ascii="宋体" w:hAnsi="宋体" w:cs="宋体"/>
          <w:kern w:val="0"/>
          <w:sz w:val="24"/>
          <w:lang w:bidi="ar"/>
        </w:rPr>
        <w:fldChar w:fldCharType="separate"/>
      </w:r>
      <w:r>
        <w:rPr>
          <w:rFonts w:ascii="宋体" w:hAnsi="宋体" w:cs="宋体"/>
          <w:noProof/>
          <w:kern w:val="0"/>
          <w:sz w:val="24"/>
          <w:lang w:bidi="ar"/>
        </w:rPr>
        <w:drawing>
          <wp:inline distT="0" distB="0" distL="114300" distR="114300" wp14:anchorId="13973E46" wp14:editId="2C3CBE06">
            <wp:extent cx="2345690" cy="1759585"/>
            <wp:effectExtent l="0" t="0" r="16510" b="1206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4"/>
                    <a:srcRect/>
                    <a:stretch>
                      <a:fillRect/>
                    </a:stretch>
                  </pic:blipFill>
                  <pic:spPr>
                    <a:xfrm>
                      <a:off x="0" y="0"/>
                      <a:ext cx="2345690" cy="1759585"/>
                    </a:xfrm>
                    <a:prstGeom prst="rect">
                      <a:avLst/>
                    </a:prstGeom>
                    <a:noFill/>
                    <a:ln w="9525">
                      <a:noFill/>
                      <a:miter/>
                    </a:ln>
                  </pic:spPr>
                </pic:pic>
              </a:graphicData>
            </a:graphic>
          </wp:inline>
        </w:drawing>
      </w:r>
      <w:r>
        <w:rPr>
          <w:rFonts w:ascii="宋体" w:hAnsi="宋体" w:cs="宋体"/>
          <w:kern w:val="0"/>
          <w:sz w:val="24"/>
          <w:lang w:bidi="ar"/>
        </w:rPr>
        <w:fldChar w:fldCharType="end"/>
      </w:r>
    </w:p>
    <w:p w14:paraId="729E54A6" w14:textId="77777777" w:rsidR="000B2A86" w:rsidRDefault="00B66DB0">
      <w:pPr>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）施工现场堆放砂、石等散体物料的，应当设置高度不低于</w:t>
      </w:r>
      <w:r>
        <w:rPr>
          <w:rFonts w:ascii="仿宋" w:eastAsia="仿宋" w:hAnsi="仿宋" w:hint="eastAsia"/>
          <w:sz w:val="28"/>
          <w:szCs w:val="28"/>
        </w:rPr>
        <w:t>0.5</w:t>
      </w:r>
      <w:r>
        <w:rPr>
          <w:rFonts w:ascii="仿宋" w:eastAsia="仿宋" w:hAnsi="仿宋" w:hint="eastAsia"/>
          <w:sz w:val="28"/>
          <w:szCs w:val="28"/>
        </w:rPr>
        <w:t>米的堆放池，并对物料裸露部分实施全苫盖。土方、工程渣土和建筑垃圾应当集中堆放，堆放高度不得超出围挡高度，并采取苫盖、固化措施。苫盖措施必须全封闭，达到无空隙的苫盖</w:t>
      </w:r>
      <w:r>
        <w:rPr>
          <w:rFonts w:ascii="仿宋" w:eastAsia="仿宋" w:hAnsi="仿宋" w:hint="eastAsia"/>
          <w:sz w:val="28"/>
          <w:szCs w:val="28"/>
        </w:rPr>
        <w:t>标准。水泥和其他易飞扬物、细颗粒散体材料应安排在仓库内存放，运输时要防止遗撒、飞扬。</w:t>
      </w:r>
    </w:p>
    <w:p w14:paraId="3F224ACF" w14:textId="77777777" w:rsidR="000B2A86" w:rsidRDefault="00B66DB0">
      <w:pPr>
        <w:rPr>
          <w:rFonts w:ascii="仿宋" w:eastAsia="仿宋" w:hAnsi="仿宋"/>
          <w:sz w:val="28"/>
          <w:szCs w:val="28"/>
        </w:rPr>
      </w:pPr>
      <w:r>
        <w:rPr>
          <w:rFonts w:ascii="仿宋" w:eastAsia="仿宋" w:hAnsi="仿宋" w:hint="eastAsia"/>
          <w:sz w:val="28"/>
          <w:szCs w:val="28"/>
        </w:rPr>
        <w:lastRenderedPageBreak/>
        <w:t>（</w:t>
      </w:r>
      <w:r>
        <w:rPr>
          <w:rFonts w:ascii="仿宋" w:eastAsia="仿宋" w:hAnsi="仿宋" w:hint="eastAsia"/>
          <w:sz w:val="28"/>
          <w:szCs w:val="28"/>
        </w:rPr>
        <w:t>3</w:t>
      </w:r>
      <w:r>
        <w:rPr>
          <w:rFonts w:ascii="仿宋" w:eastAsia="仿宋" w:hAnsi="仿宋" w:hint="eastAsia"/>
          <w:sz w:val="28"/>
          <w:szCs w:val="28"/>
        </w:rPr>
        <w:t>）施工现场的各种设施、建筑材料、设备器材、现场制品、成品半成品、构配件及其他料具等应当按照施工总平面图划定的区域存放，并设置标识，禁止混放或在施工现场外擅自占道堆放。</w:t>
      </w:r>
    </w:p>
    <w:p w14:paraId="219CAD42" w14:textId="77777777" w:rsidR="000B2A86" w:rsidRDefault="00B66DB0">
      <w:pPr>
        <w:pStyle w:val="20"/>
        <w:spacing w:before="156" w:after="156"/>
      </w:pPr>
      <w:bookmarkStart w:id="26" w:name="_Toc11927"/>
      <w:r>
        <w:rPr>
          <w:rFonts w:hint="eastAsia"/>
        </w:rPr>
        <w:t>5.5</w:t>
      </w:r>
      <w:r>
        <w:rPr>
          <w:rFonts w:hint="eastAsia"/>
        </w:rPr>
        <w:t>木工作业</w:t>
      </w:r>
      <w:bookmarkEnd w:id="26"/>
    </w:p>
    <w:p w14:paraId="12AF9073"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木工加工棚采用封闭式，禁止将木工间作他用，所有木工作业均在木工加工棚完成。木工加工棚由安全员负责，木工机械操作工负责日常管理，保持木工间整齐、整洁，及时清理锯末及废料，锯末及刨花等。必须装袋后清运至指定地点，必要时可进行喷水湿润后再清理。</w:t>
      </w:r>
      <w:r>
        <w:rPr>
          <w:rFonts w:ascii="仿宋" w:eastAsia="仿宋" w:hAnsi="仿宋" w:hint="eastAsia"/>
          <w:sz w:val="28"/>
          <w:szCs w:val="28"/>
        </w:rPr>
        <w:t>必须确保木工间产生的粉尘、废料不会污染环境。</w:t>
      </w:r>
    </w:p>
    <w:p w14:paraId="74454C96" w14:textId="77777777" w:rsidR="000B2A86" w:rsidRDefault="00B66DB0">
      <w:pPr>
        <w:pStyle w:val="20"/>
        <w:spacing w:before="156" w:after="156"/>
      </w:pPr>
      <w:bookmarkStart w:id="27" w:name="_Toc440720083"/>
      <w:bookmarkStart w:id="28" w:name="_Toc24348"/>
      <w:r>
        <w:rPr>
          <w:rFonts w:hint="eastAsia"/>
        </w:rPr>
        <w:t>5.6</w:t>
      </w:r>
      <w:r>
        <w:rPr>
          <w:rFonts w:hint="eastAsia"/>
        </w:rPr>
        <w:t>工地出入口标准</w:t>
      </w:r>
      <w:bookmarkEnd w:id="27"/>
      <w:bookmarkEnd w:id="28"/>
    </w:p>
    <w:p w14:paraId="21981B44"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全市所有建筑工地出入口必须设置车辆冲洗装置，冲洗平台应设置于工地大门内侧，其周边设置排水沟，排水沟与沉淀池相连，并按规定处置泥浆和废水排放，沉淀池需定期清理并与市政排水管网相接。每个工地应根据工地运输车辆进出情况，配备专职人员，负责对驶出工地的物料运输车辆的车轮和车身冲洗，达到车辆无带泥上路的标准。出入口设置监控摄像头，监控录像本地硬盘存储时间不少于一个月。</w:t>
      </w:r>
    </w:p>
    <w:p w14:paraId="635AD472" w14:textId="77777777" w:rsidR="000B2A86" w:rsidRDefault="00B66DB0">
      <w:pPr>
        <w:ind w:firstLineChars="200" w:firstLine="420"/>
        <w:rPr>
          <w:rFonts w:ascii="仿宋" w:eastAsia="仿宋" w:hAnsi="仿宋"/>
          <w:sz w:val="28"/>
          <w:szCs w:val="28"/>
        </w:rPr>
      </w:pPr>
      <w:r>
        <w:rPr>
          <w:noProof/>
        </w:rPr>
        <w:drawing>
          <wp:inline distT="0" distB="0" distL="114300" distR="114300" wp14:anchorId="3152C7AB" wp14:editId="4FC2BCA4">
            <wp:extent cx="5269230" cy="1976120"/>
            <wp:effectExtent l="0" t="0" r="762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rcRect/>
                    <a:stretch>
                      <a:fillRect/>
                    </a:stretch>
                  </pic:blipFill>
                  <pic:spPr>
                    <a:xfrm>
                      <a:off x="0" y="0"/>
                      <a:ext cx="5269230" cy="1976120"/>
                    </a:xfrm>
                    <a:prstGeom prst="rect">
                      <a:avLst/>
                    </a:prstGeom>
                    <a:noFill/>
                    <a:ln w="9525">
                      <a:noFill/>
                      <a:miter/>
                    </a:ln>
                  </pic:spPr>
                </pic:pic>
              </a:graphicData>
            </a:graphic>
          </wp:inline>
        </w:drawing>
      </w:r>
    </w:p>
    <w:p w14:paraId="2E9503F7" w14:textId="77777777" w:rsidR="000B2A86" w:rsidRDefault="00B66DB0">
      <w:pPr>
        <w:pStyle w:val="20"/>
        <w:spacing w:before="156" w:after="156"/>
      </w:pPr>
      <w:bookmarkStart w:id="29" w:name="_Toc440720084"/>
      <w:bookmarkStart w:id="30" w:name="_Toc23250"/>
      <w:r>
        <w:rPr>
          <w:rFonts w:hint="eastAsia"/>
        </w:rPr>
        <w:lastRenderedPageBreak/>
        <w:t>5.7</w:t>
      </w:r>
      <w:r>
        <w:rPr>
          <w:rFonts w:hint="eastAsia"/>
        </w:rPr>
        <w:t>建筑立面密目网封闭标准</w:t>
      </w:r>
      <w:bookmarkEnd w:id="29"/>
      <w:bookmarkEnd w:id="30"/>
    </w:p>
    <w:p w14:paraId="25C5D973"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建筑工程立面必须采用规格不低于</w:t>
      </w:r>
      <w:r>
        <w:rPr>
          <w:rFonts w:ascii="仿宋" w:eastAsia="仿宋" w:hAnsi="仿宋" w:hint="eastAsia"/>
          <w:sz w:val="28"/>
          <w:szCs w:val="28"/>
        </w:rPr>
        <w:t>2000</w:t>
      </w:r>
      <w:r>
        <w:rPr>
          <w:rFonts w:ascii="仿宋" w:eastAsia="仿宋" w:hAnsi="仿宋" w:hint="eastAsia"/>
          <w:sz w:val="28"/>
          <w:szCs w:val="28"/>
        </w:rPr>
        <w:t>目的密目式安全立网进行全封闭，并保持清洁，封闭严密。建筑垃圾和废弃物应采用密闭</w:t>
      </w:r>
      <w:r>
        <w:rPr>
          <w:rFonts w:ascii="仿宋" w:eastAsia="仿宋" w:hAnsi="仿宋" w:hint="eastAsia"/>
          <w:sz w:val="28"/>
          <w:szCs w:val="28"/>
        </w:rPr>
        <w:t>式串筒或其他有效防尘措施清理搬运，不得从建筑物高处倾倒。</w:t>
      </w:r>
    </w:p>
    <w:p w14:paraId="3233C587" w14:textId="77777777" w:rsidR="000B2A86" w:rsidRDefault="00B66DB0">
      <w:pPr>
        <w:pStyle w:val="20"/>
        <w:spacing w:before="156" w:after="156"/>
      </w:pPr>
      <w:bookmarkStart w:id="31" w:name="_Toc440720085"/>
      <w:bookmarkStart w:id="32" w:name="_Toc17163"/>
      <w:r>
        <w:rPr>
          <w:rFonts w:hint="eastAsia"/>
        </w:rPr>
        <w:t>5.8</w:t>
      </w:r>
      <w:r>
        <w:rPr>
          <w:rFonts w:hint="eastAsia"/>
        </w:rPr>
        <w:t>工程渣土运输</w:t>
      </w:r>
      <w:bookmarkEnd w:id="31"/>
      <w:bookmarkEnd w:id="32"/>
    </w:p>
    <w:p w14:paraId="072DA117"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渣土装运企业应当从国家公布的车辆产品目录中选购运输车辆，并加装统一密闭装置。公安交管部门负责对密闭改装的渣土运输车辆进行年检。渣土运输车辆上路行驶应当具有公安交管部门核发的渣土运输通行证及法律、法规、规章规定的其他许可证件，并按指定的时间、区域或路线行驶。</w:t>
      </w:r>
    </w:p>
    <w:p w14:paraId="7C89A90C"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施工现场出口设置应当符合以下标准</w:t>
      </w:r>
      <w:r>
        <w:rPr>
          <w:rFonts w:ascii="仿宋" w:eastAsia="仿宋" w:hAnsi="仿宋" w:hint="eastAsia"/>
          <w:sz w:val="28"/>
          <w:szCs w:val="28"/>
        </w:rPr>
        <w:t>：</w:t>
      </w:r>
    </w:p>
    <w:p w14:paraId="48272C51"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w:t>
      </w:r>
      <w:r>
        <w:rPr>
          <w:rFonts w:ascii="仿宋" w:eastAsia="仿宋" w:hAnsi="仿宋" w:hint="eastAsia"/>
          <w:sz w:val="28"/>
          <w:szCs w:val="28"/>
        </w:rPr>
        <w:t>施工现场出口处应当设置门禁，并派专人职守，对不符合出场标准的车辆严禁放行</w:t>
      </w:r>
      <w:r>
        <w:rPr>
          <w:rFonts w:ascii="仿宋" w:eastAsia="仿宋" w:hAnsi="仿宋" w:hint="eastAsia"/>
          <w:sz w:val="28"/>
          <w:szCs w:val="28"/>
        </w:rPr>
        <w:t>;</w:t>
      </w:r>
    </w:p>
    <w:p w14:paraId="21DBFC1D"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hint="eastAsia"/>
          <w:sz w:val="28"/>
          <w:szCs w:val="28"/>
        </w:rPr>
        <w:t>施工现场出口内侧应当按照标准设置车辆冲洗设施，保持使用功能完好，对驶出场区的渣土运输车辆进行冲洗</w:t>
      </w:r>
      <w:r>
        <w:rPr>
          <w:rFonts w:ascii="仿宋" w:eastAsia="仿宋" w:hAnsi="仿宋" w:hint="eastAsia"/>
          <w:sz w:val="28"/>
          <w:szCs w:val="28"/>
        </w:rPr>
        <w:t>，</w:t>
      </w:r>
      <w:r>
        <w:rPr>
          <w:rFonts w:ascii="仿宋" w:eastAsia="仿宋" w:hAnsi="仿宋" w:hint="eastAsia"/>
          <w:sz w:val="28"/>
          <w:szCs w:val="28"/>
        </w:rPr>
        <w:t>达到车辆无带泥上路的标准</w:t>
      </w:r>
      <w:r>
        <w:rPr>
          <w:rFonts w:ascii="仿宋" w:eastAsia="仿宋" w:hAnsi="仿宋" w:hint="eastAsia"/>
          <w:sz w:val="28"/>
          <w:szCs w:val="28"/>
        </w:rPr>
        <w:t>;</w:t>
      </w:r>
    </w:p>
    <w:p w14:paraId="0F63B277"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w:t>
      </w:r>
      <w:r>
        <w:rPr>
          <w:rFonts w:ascii="仿宋" w:eastAsia="仿宋" w:hAnsi="仿宋" w:hint="eastAsia"/>
          <w:sz w:val="28"/>
          <w:szCs w:val="28"/>
        </w:rPr>
        <w:t>施工现场出口外</w:t>
      </w:r>
      <w:r>
        <w:rPr>
          <w:rFonts w:ascii="仿宋" w:eastAsia="仿宋" w:hAnsi="仿宋" w:hint="eastAsia"/>
          <w:sz w:val="28"/>
          <w:szCs w:val="28"/>
        </w:rPr>
        <w:t>50</w:t>
      </w:r>
      <w:r>
        <w:rPr>
          <w:rFonts w:ascii="仿宋" w:eastAsia="仿宋" w:hAnsi="仿宋" w:hint="eastAsia"/>
          <w:sz w:val="28"/>
          <w:szCs w:val="28"/>
        </w:rPr>
        <w:t>米范围内应保持地面清洁，并派专人进行日常清扫</w:t>
      </w:r>
      <w:r>
        <w:rPr>
          <w:rFonts w:ascii="仿宋" w:eastAsia="仿宋" w:hAnsi="仿宋" w:hint="eastAsia"/>
          <w:sz w:val="28"/>
          <w:szCs w:val="28"/>
        </w:rPr>
        <w:t>，</w:t>
      </w:r>
      <w:r>
        <w:rPr>
          <w:rFonts w:ascii="仿宋" w:eastAsia="仿宋" w:hAnsi="仿宋" w:hint="eastAsia"/>
          <w:sz w:val="28"/>
          <w:szCs w:val="28"/>
        </w:rPr>
        <w:t>达到车辆行驶无扬尘的标准</w:t>
      </w:r>
      <w:r>
        <w:rPr>
          <w:rFonts w:ascii="仿宋" w:eastAsia="仿宋" w:hAnsi="仿宋" w:hint="eastAsia"/>
          <w:sz w:val="28"/>
          <w:szCs w:val="28"/>
        </w:rPr>
        <w:t>;</w:t>
      </w:r>
    </w:p>
    <w:p w14:paraId="7EC22F1B"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）工程土方开挖时合理安排施工进度与车辆安排，做到随挖随外运。除做好硬地坪外，其它露土部位必须保持密实，不得随意开挖翻土。</w:t>
      </w:r>
      <w:r>
        <w:rPr>
          <w:rFonts w:ascii="仿宋" w:eastAsia="仿宋" w:hAnsi="仿宋" w:hint="eastAsia"/>
          <w:sz w:val="28"/>
          <w:szCs w:val="28"/>
        </w:rPr>
        <w:br/>
      </w:r>
      <w:r>
        <w:rPr>
          <w:rFonts w:ascii="仿宋" w:eastAsia="仿宋" w:hAnsi="仿宋" w:hint="eastAsia"/>
          <w:sz w:val="28"/>
          <w:szCs w:val="28"/>
        </w:rPr>
        <w:lastRenderedPageBreak/>
        <w:t xml:space="preserve">    </w:t>
      </w:r>
      <w:r>
        <w:rPr>
          <w:rFonts w:ascii="仿宋" w:eastAsia="仿宋" w:hAnsi="仿宋" w:hint="eastAsia"/>
          <w:sz w:val="28"/>
          <w:szCs w:val="28"/>
        </w:rPr>
        <w:t>（</w:t>
      </w:r>
      <w:r>
        <w:rPr>
          <w:rFonts w:ascii="仿宋" w:eastAsia="仿宋" w:hAnsi="仿宋" w:hint="eastAsia"/>
          <w:sz w:val="28"/>
          <w:szCs w:val="28"/>
        </w:rPr>
        <w:t>5</w:t>
      </w:r>
      <w:r>
        <w:rPr>
          <w:rFonts w:ascii="仿宋" w:eastAsia="仿宋" w:hAnsi="仿宋" w:hint="eastAsia"/>
          <w:sz w:val="28"/>
          <w:szCs w:val="28"/>
        </w:rPr>
        <w:t>）</w:t>
      </w:r>
      <w:r>
        <w:rPr>
          <w:rFonts w:ascii="仿宋" w:eastAsia="仿宋" w:hAnsi="仿宋"/>
          <w:sz w:val="28"/>
          <w:szCs w:val="28"/>
        </w:rPr>
        <w:t>建设工程渣土运输必须实行平槽装运，渣土装载的高度不得超过车辆侧帮，尾部渣土不得压帮。</w:t>
      </w:r>
      <w:r>
        <w:rPr>
          <w:rFonts w:ascii="仿宋" w:eastAsia="仿宋" w:hAnsi="仿宋" w:hint="eastAsia"/>
          <w:sz w:val="28"/>
          <w:szCs w:val="28"/>
        </w:rPr>
        <w:t>渣土运输车辆必须采用密闭运输，严禁装运湿泥。</w:t>
      </w:r>
      <w:r>
        <w:rPr>
          <w:rFonts w:ascii="仿宋" w:eastAsia="仿宋" w:hAnsi="仿宋" w:hint="eastAsia"/>
          <w:sz w:val="28"/>
          <w:szCs w:val="28"/>
        </w:rPr>
        <w:br/>
      </w:r>
      <w:r>
        <w:rPr>
          <w:rFonts w:ascii="仿宋" w:eastAsia="仿宋" w:hAnsi="仿宋" w:hint="eastAsia"/>
          <w:sz w:val="28"/>
          <w:szCs w:val="28"/>
        </w:rPr>
        <w:t xml:space="preserve">    </w:t>
      </w:r>
      <w:r>
        <w:rPr>
          <w:rFonts w:ascii="仿宋" w:eastAsia="仿宋" w:hAnsi="仿宋" w:hint="eastAsia"/>
          <w:sz w:val="28"/>
          <w:szCs w:val="28"/>
        </w:rPr>
        <w:t>（</w:t>
      </w:r>
      <w:r>
        <w:rPr>
          <w:rFonts w:ascii="仿宋" w:eastAsia="仿宋" w:hAnsi="仿宋" w:hint="eastAsia"/>
          <w:sz w:val="28"/>
          <w:szCs w:val="28"/>
        </w:rPr>
        <w:t>6</w:t>
      </w:r>
      <w:r>
        <w:rPr>
          <w:rFonts w:ascii="仿宋" w:eastAsia="仿宋" w:hAnsi="仿宋" w:hint="eastAsia"/>
          <w:sz w:val="28"/>
          <w:szCs w:val="28"/>
        </w:rPr>
        <w:t>）禁止</w:t>
      </w:r>
      <w:r>
        <w:rPr>
          <w:rFonts w:ascii="仿宋" w:eastAsia="仿宋" w:hAnsi="仿宋" w:hint="eastAsia"/>
          <w:sz w:val="28"/>
          <w:szCs w:val="28"/>
        </w:rPr>
        <w:t>渣土外溢至围挡以外，工地场区内暂存的渣土应当集中堆放并全部苫盖。</w:t>
      </w:r>
    </w:p>
    <w:p w14:paraId="7A9621A1"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7</w:t>
      </w:r>
      <w:r>
        <w:rPr>
          <w:rFonts w:ascii="仿宋" w:eastAsia="仿宋" w:hAnsi="仿宋" w:hint="eastAsia"/>
          <w:sz w:val="28"/>
          <w:szCs w:val="28"/>
        </w:rPr>
        <w:t>）</w:t>
      </w:r>
      <w:r>
        <w:rPr>
          <w:rFonts w:ascii="仿宋" w:eastAsia="仿宋" w:hAnsi="仿宋"/>
          <w:sz w:val="28"/>
          <w:szCs w:val="28"/>
        </w:rPr>
        <w:t>在土石方施工过程中，渣土运输车辆应停放在硬化路面上，不允许进入基坑内装载工程土，必须采取垂直运输或长臂挖掘机出土方式。</w:t>
      </w:r>
    </w:p>
    <w:p w14:paraId="6C952362"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8</w:t>
      </w:r>
      <w:r>
        <w:rPr>
          <w:rFonts w:ascii="仿宋" w:eastAsia="仿宋" w:hAnsi="仿宋" w:hint="eastAsia"/>
          <w:sz w:val="28"/>
          <w:szCs w:val="28"/>
        </w:rPr>
        <w:t>）</w:t>
      </w:r>
      <w:r>
        <w:rPr>
          <w:rFonts w:ascii="仿宋" w:eastAsia="仿宋" w:hAnsi="仿宋"/>
          <w:sz w:val="28"/>
          <w:szCs w:val="28"/>
        </w:rPr>
        <w:t>各渣土运输单位对于车辆的密闭装置要严格管理，必须保持密闭装置的完整性。对于破口、开线、散架的密闭装置一定要及时修复，否则不得进入工地拉土。密闭装置六个月内必须进行一次维修，以保持密闭装置使用完好有效。有关管理部门要加强对此项工作的监管。</w:t>
      </w:r>
    </w:p>
    <w:p w14:paraId="307B5738"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实施土方开挖前，建设单位应按本市相关规定将下列资料向建设工程渣土运输监督管理</w:t>
      </w:r>
      <w:r>
        <w:rPr>
          <w:rFonts w:ascii="仿宋" w:eastAsia="仿宋" w:hAnsi="仿宋" w:hint="eastAsia"/>
          <w:sz w:val="28"/>
          <w:szCs w:val="28"/>
        </w:rPr>
        <w:t>部门备案：</w:t>
      </w:r>
    </w:p>
    <w:p w14:paraId="06CDD97C"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w:t>
      </w:r>
      <w:r>
        <w:rPr>
          <w:rFonts w:ascii="仿宋" w:eastAsia="仿宋" w:hAnsi="仿宋" w:hint="eastAsia"/>
          <w:sz w:val="28"/>
          <w:szCs w:val="28"/>
        </w:rPr>
        <w:t>建设单位或施工单位与建设工程渣土装运企业签订的建设工程渣土装运合同</w:t>
      </w:r>
      <w:r>
        <w:rPr>
          <w:rFonts w:ascii="仿宋" w:eastAsia="仿宋" w:hAnsi="仿宋" w:hint="eastAsia"/>
          <w:sz w:val="28"/>
          <w:szCs w:val="28"/>
        </w:rPr>
        <w:t>;</w:t>
      </w:r>
    </w:p>
    <w:p w14:paraId="221D313B"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hint="eastAsia"/>
          <w:sz w:val="28"/>
          <w:szCs w:val="28"/>
        </w:rPr>
        <w:t>渣土运输车辆冲洗设施及门禁检查结果告知书</w:t>
      </w:r>
      <w:r>
        <w:rPr>
          <w:rFonts w:ascii="仿宋" w:eastAsia="仿宋" w:hAnsi="仿宋" w:hint="eastAsia"/>
          <w:sz w:val="28"/>
          <w:szCs w:val="28"/>
        </w:rPr>
        <w:t>;</w:t>
      </w:r>
    </w:p>
    <w:p w14:paraId="54F66D56"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w:t>
      </w:r>
      <w:r>
        <w:rPr>
          <w:rFonts w:ascii="仿宋" w:eastAsia="仿宋" w:hAnsi="仿宋" w:hint="eastAsia"/>
          <w:sz w:val="28"/>
          <w:szCs w:val="28"/>
        </w:rPr>
        <w:t>建设工程防治渣土运输撒漏承诺文件</w:t>
      </w:r>
      <w:r>
        <w:rPr>
          <w:rFonts w:ascii="仿宋" w:eastAsia="仿宋" w:hAnsi="仿宋" w:hint="eastAsia"/>
          <w:sz w:val="28"/>
          <w:szCs w:val="28"/>
        </w:rPr>
        <w:t>;</w:t>
      </w:r>
    </w:p>
    <w:p w14:paraId="0CCD7255"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w:t>
      </w:r>
      <w:r>
        <w:rPr>
          <w:rFonts w:ascii="仿宋" w:eastAsia="仿宋" w:hAnsi="仿宋" w:hint="eastAsia"/>
          <w:sz w:val="28"/>
          <w:szCs w:val="28"/>
        </w:rPr>
        <w:t>建设工程渣土装运备案意见书作为建设工程安全措施备案要件之一，由建设单位在办理施工许可时向建设行政主管部门出具。</w:t>
      </w:r>
    </w:p>
    <w:p w14:paraId="40A7E48C" w14:textId="77777777" w:rsidR="000B2A86" w:rsidRDefault="00B66DB0">
      <w:pPr>
        <w:pStyle w:val="20"/>
        <w:spacing w:before="156" w:after="156"/>
      </w:pPr>
      <w:bookmarkStart w:id="33" w:name="_Toc440720086"/>
      <w:bookmarkStart w:id="34" w:name="_Toc11968"/>
      <w:r>
        <w:rPr>
          <w:rFonts w:hint="eastAsia"/>
        </w:rPr>
        <w:t>5.9</w:t>
      </w:r>
      <w:r>
        <w:rPr>
          <w:rFonts w:hint="eastAsia"/>
        </w:rPr>
        <w:t>建筑垃圾清运</w:t>
      </w:r>
      <w:bookmarkEnd w:id="33"/>
      <w:bookmarkEnd w:id="34"/>
    </w:p>
    <w:p w14:paraId="03F79525"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施工现场垃圾要及时清运，清运垃圾时，应配合洒水，减少扬尘污</w:t>
      </w:r>
      <w:r>
        <w:rPr>
          <w:rFonts w:ascii="仿宋" w:eastAsia="仿宋" w:hAnsi="仿宋" w:hint="eastAsia"/>
          <w:sz w:val="28"/>
          <w:szCs w:val="28"/>
        </w:rPr>
        <w:lastRenderedPageBreak/>
        <w:t>染。建筑结构内的施工垃圾清运须采用封闭容器吊运或袋装，严禁随意凌空抛洒。</w:t>
      </w:r>
    </w:p>
    <w:p w14:paraId="4C216E74" w14:textId="77777777" w:rsidR="000B2A86" w:rsidRDefault="00B66DB0">
      <w:pPr>
        <w:pStyle w:val="20"/>
        <w:spacing w:before="156" w:after="156"/>
      </w:pPr>
      <w:bookmarkStart w:id="35" w:name="_Toc6963"/>
      <w:r>
        <w:rPr>
          <w:rFonts w:ascii="仿宋" w:hAnsi="仿宋" w:hint="eastAsia"/>
        </w:rPr>
        <w:t>5.10</w:t>
      </w:r>
      <w:r>
        <w:rPr>
          <w:rFonts w:hint="eastAsia"/>
        </w:rPr>
        <w:t>装饰施工阶段管理</w:t>
      </w:r>
      <w:bookmarkEnd w:id="35"/>
    </w:p>
    <w:p w14:paraId="399732F4" w14:textId="77777777" w:rsidR="000B2A86" w:rsidRDefault="00B66DB0">
      <w:pPr>
        <w:spacing w:line="360" w:lineRule="auto"/>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）工程结束前不得拆除工地围墙，如因正式围墙施工妨碍必须拆除临时围墙时，必须设置临时围档措施。</w:t>
      </w:r>
    </w:p>
    <w:p w14:paraId="788A9A2C" w14:textId="77777777" w:rsidR="000B2A86" w:rsidRDefault="00B66DB0">
      <w:pPr>
        <w:spacing w:line="360" w:lineRule="auto"/>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）由于装饰期间的建筑垃圾品种较多，故在现场设置的垃圾堆放点必须进行分隔，以便分类堆放装饰建筑垃圾；</w:t>
      </w:r>
    </w:p>
    <w:p w14:paraId="78497A86" w14:textId="77777777" w:rsidR="000B2A86" w:rsidRDefault="00B66DB0">
      <w:pPr>
        <w:spacing w:line="360" w:lineRule="auto"/>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）在进行大理石等石材切割或磨光时，必须设置专用封闭式的切割间，操作人员必须戴好口罩，必要时带水切割；</w:t>
      </w:r>
    </w:p>
    <w:p w14:paraId="35EE604A" w14:textId="77777777" w:rsidR="000B2A86" w:rsidRDefault="00B66DB0">
      <w:pPr>
        <w:spacing w:line="360" w:lineRule="auto"/>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）施工现场禁止焚烧垃圾废料等；</w:t>
      </w:r>
    </w:p>
    <w:p w14:paraId="14F0C93B" w14:textId="77777777" w:rsidR="000B2A86" w:rsidRDefault="00B66DB0">
      <w:pPr>
        <w:spacing w:line="360" w:lineRule="auto"/>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）装饰用的石膏粉、老粉、腻子粉等必须袋装，并入库集中管理。</w:t>
      </w:r>
    </w:p>
    <w:p w14:paraId="7464A7CF" w14:textId="77777777" w:rsidR="000B2A86" w:rsidRDefault="00B66DB0">
      <w:pPr>
        <w:spacing w:line="360" w:lineRule="auto"/>
        <w:rPr>
          <w:rFonts w:ascii="仿宋" w:eastAsia="仿宋" w:hAnsi="仿宋"/>
          <w:sz w:val="28"/>
          <w:szCs w:val="28"/>
        </w:rPr>
      </w:pPr>
      <w:r>
        <w:rPr>
          <w:rFonts w:ascii="仿宋_GB2312" w:eastAsia="仿宋_GB2312" w:hAnsi="宋体" w:hint="eastAsia"/>
          <w:sz w:val="28"/>
          <w:szCs w:val="28"/>
        </w:rPr>
        <w:t>（</w:t>
      </w:r>
      <w:r>
        <w:rPr>
          <w:rFonts w:ascii="仿宋_GB2312" w:eastAsia="仿宋_GB2312" w:hAnsi="宋体" w:hint="eastAsia"/>
          <w:sz w:val="28"/>
          <w:szCs w:val="28"/>
        </w:rPr>
        <w:t>6</w:t>
      </w:r>
      <w:r>
        <w:rPr>
          <w:rFonts w:ascii="仿宋_GB2312" w:eastAsia="仿宋_GB2312" w:hAnsi="宋体" w:hint="eastAsia"/>
          <w:sz w:val="28"/>
          <w:szCs w:val="28"/>
        </w:rPr>
        <w:t>）装饰阶段应组织石材、木制品成品进入施工现场，实施装配式施工，减少因切割石材、木制品所产生的扬尘污染。</w:t>
      </w:r>
    </w:p>
    <w:p w14:paraId="5486A60F" w14:textId="77777777" w:rsidR="000B2A86" w:rsidRDefault="00B66DB0">
      <w:pPr>
        <w:pStyle w:val="20"/>
        <w:spacing w:before="156" w:after="156"/>
      </w:pPr>
      <w:bookmarkStart w:id="36" w:name="_Toc440720087"/>
      <w:bookmarkStart w:id="37" w:name="_Toc12565"/>
      <w:r>
        <w:rPr>
          <w:rFonts w:hint="eastAsia"/>
        </w:rPr>
        <w:t>5.11</w:t>
      </w:r>
      <w:r>
        <w:rPr>
          <w:rFonts w:hint="eastAsia"/>
        </w:rPr>
        <w:t>其他要求</w:t>
      </w:r>
      <w:bookmarkEnd w:id="36"/>
      <w:bookmarkEnd w:id="37"/>
    </w:p>
    <w:p w14:paraId="4C9D8303"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施工现场必须采用商品混凝土和预拌砂浆，全市禁止在施工现场搅拌混凝土和灰土，禁止露天堆放水泥和石灰，禁止焚烧垃圾等有害物质，禁止使用煤炭、木材及油毡、油漆等材料作为燃烧能源。切割石材等产尘作业应采取降尘措施。</w:t>
      </w:r>
    </w:p>
    <w:p w14:paraId="51B7E3B4" w14:textId="77777777" w:rsidR="000B2A86" w:rsidRDefault="00B66DB0">
      <w:pPr>
        <w:pStyle w:val="10"/>
        <w:spacing w:before="156" w:after="312"/>
      </w:pPr>
      <w:bookmarkStart w:id="38" w:name="_Toc24560"/>
      <w:r>
        <w:rPr>
          <w:rFonts w:hint="eastAsia"/>
        </w:rPr>
        <w:t>6</w:t>
      </w:r>
      <w:r>
        <w:rPr>
          <w:rFonts w:hint="eastAsia"/>
        </w:rPr>
        <w:t>、治理措施</w:t>
      </w:r>
      <w:bookmarkEnd w:id="38"/>
    </w:p>
    <w:p w14:paraId="16A75386"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）专人专责。各参建单位必须确定一名管理人员负责本项目的</w:t>
      </w:r>
      <w:r>
        <w:rPr>
          <w:rFonts w:ascii="仿宋" w:eastAsia="仿宋" w:hAnsi="仿宋" w:hint="eastAsia"/>
          <w:sz w:val="28"/>
          <w:szCs w:val="28"/>
        </w:rPr>
        <w:lastRenderedPageBreak/>
        <w:t>施工扬尘治理工作。对自己负责</w:t>
      </w:r>
      <w:r>
        <w:rPr>
          <w:rFonts w:ascii="仿宋" w:eastAsia="仿宋" w:hAnsi="仿宋" w:hint="eastAsia"/>
          <w:sz w:val="28"/>
          <w:szCs w:val="28"/>
        </w:rPr>
        <w:t>区域</w:t>
      </w:r>
      <w:r>
        <w:rPr>
          <w:rFonts w:ascii="仿宋" w:eastAsia="仿宋" w:hAnsi="仿宋" w:hint="eastAsia"/>
          <w:sz w:val="28"/>
          <w:szCs w:val="28"/>
        </w:rPr>
        <w:t>的扬尘防治措施进行不间断检查，做好检查记录，对不达标项及时督促整改。</w:t>
      </w:r>
    </w:p>
    <w:p w14:paraId="2C3BFB12"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加强培训教育工作。提高建筑从业人员对扬尘治理工作的重视程度，熟悉掌握扬尘治理的相关要求。项目部要利用农民工夜校，每周开展一次施工扬尘治理培训教育活动，使现场所有施工人员都能够积极主动地落实扬尘治理工作的各项要求。</w:t>
      </w:r>
    </w:p>
    <w:p w14:paraId="141BAEA5"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建立检查机制。工程的各责任主体单位每日对现场进行清扫整理，并定期组织自查、互查；建设单位每周应对现场进行联合检查；监管部门每月应对所监督项目进行扬尘治理工作的检查，对违规现象及时查处，督促整改。充分利用视频监控系统和颗粒物在线监控系统等先进设备，及时发现并纠正施工现场的扬尘违规行为。</w:t>
      </w:r>
    </w:p>
    <w:p w14:paraId="05079FE6"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）建立工作例会及通报制度。项目部应建立周例会制度，对本工程涉及的扬尘治理工作进行分析总结，对产生的问题及时整改。</w:t>
      </w:r>
    </w:p>
    <w:p w14:paraId="108DF7A0"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5</w:t>
      </w:r>
      <w:r>
        <w:rPr>
          <w:rFonts w:ascii="仿宋" w:eastAsia="仿宋" w:hAnsi="仿宋" w:hint="eastAsia"/>
          <w:sz w:val="28"/>
          <w:szCs w:val="28"/>
        </w:rPr>
        <w:t>）科技治尘。创新扬尘治理新招法，本工程采用塔吊喷淋系统进行场区降尘</w:t>
      </w:r>
      <w:r>
        <w:rPr>
          <w:rFonts w:ascii="仿宋" w:eastAsia="仿宋" w:hAnsi="仿宋" w:hint="eastAsia"/>
          <w:sz w:val="28"/>
          <w:szCs w:val="28"/>
        </w:rPr>
        <w:t>。</w:t>
      </w:r>
      <w:r>
        <w:rPr>
          <w:rFonts w:ascii="仿宋" w:eastAsia="仿宋" w:hAnsi="仿宋" w:hint="eastAsia"/>
          <w:sz w:val="28"/>
          <w:szCs w:val="28"/>
        </w:rPr>
        <w:t>在塔吊安装完成后通过塔吊旋转臂预设的喷淋系统，对一定区域内的除尘、楼层养护、外架消防用水等有作用。</w:t>
      </w:r>
    </w:p>
    <w:p w14:paraId="31616A07" w14:textId="77777777" w:rsidR="000B2A86" w:rsidRDefault="00B66DB0">
      <w:pPr>
        <w:ind w:firstLineChars="200" w:firstLine="420"/>
        <w:rPr>
          <w:rFonts w:ascii="仿宋" w:eastAsia="仿宋" w:hAnsi="仿宋"/>
          <w:sz w:val="28"/>
          <w:szCs w:val="28"/>
        </w:rPr>
      </w:pPr>
      <w:r>
        <w:rPr>
          <w:rFonts w:hint="eastAsia"/>
        </w:rPr>
        <w:t xml:space="preserve">       </w:t>
      </w:r>
      <w:r>
        <w:rPr>
          <w:noProof/>
        </w:rPr>
        <w:drawing>
          <wp:inline distT="0" distB="0" distL="114300" distR="114300" wp14:anchorId="7CCBD164" wp14:editId="322CE629">
            <wp:extent cx="3952240" cy="2305050"/>
            <wp:effectExtent l="0" t="0" r="1016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rcRect/>
                    <a:stretch>
                      <a:fillRect/>
                    </a:stretch>
                  </pic:blipFill>
                  <pic:spPr>
                    <a:xfrm>
                      <a:off x="0" y="0"/>
                      <a:ext cx="3952240" cy="2305050"/>
                    </a:xfrm>
                    <a:prstGeom prst="rect">
                      <a:avLst/>
                    </a:prstGeom>
                    <a:noFill/>
                    <a:ln w="9525">
                      <a:noFill/>
                      <a:miter/>
                    </a:ln>
                  </pic:spPr>
                </pic:pic>
              </a:graphicData>
            </a:graphic>
          </wp:inline>
        </w:drawing>
      </w:r>
    </w:p>
    <w:p w14:paraId="012D4B2A" w14:textId="77777777" w:rsidR="000B2A86" w:rsidRDefault="00B66DB0">
      <w:pPr>
        <w:pStyle w:val="10"/>
        <w:spacing w:before="156" w:after="312"/>
      </w:pPr>
      <w:bookmarkStart w:id="39" w:name="_Toc440720088"/>
      <w:bookmarkStart w:id="40" w:name="_Toc15184"/>
      <w:r>
        <w:rPr>
          <w:rFonts w:hint="eastAsia"/>
        </w:rPr>
        <w:lastRenderedPageBreak/>
        <w:t>7</w:t>
      </w:r>
      <w:r>
        <w:rPr>
          <w:rFonts w:hint="eastAsia"/>
        </w:rPr>
        <w:t>、制度保障</w:t>
      </w:r>
      <w:bookmarkEnd w:id="39"/>
      <w:bookmarkEnd w:id="40"/>
    </w:p>
    <w:p w14:paraId="41A93BB6" w14:textId="77777777" w:rsidR="000B2A86" w:rsidRDefault="00B66DB0">
      <w:pPr>
        <w:pStyle w:val="20"/>
        <w:spacing w:before="156" w:after="156"/>
      </w:pPr>
      <w:bookmarkStart w:id="41" w:name="_Toc1292"/>
      <w:r>
        <w:rPr>
          <w:rFonts w:hint="eastAsia"/>
        </w:rPr>
        <w:t>7</w:t>
      </w:r>
      <w:r>
        <w:rPr>
          <w:rFonts w:hint="eastAsia"/>
        </w:rPr>
        <w:t>.1</w:t>
      </w:r>
      <w:r>
        <w:rPr>
          <w:rFonts w:hint="eastAsia"/>
        </w:rPr>
        <w:t>例会制度</w:t>
      </w:r>
      <w:bookmarkEnd w:id="41"/>
    </w:p>
    <w:p w14:paraId="14648A77"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每半月召开一次“施工现场环境保护”工作例会，总结前一阶段的施工现场扬尘环境保护管理情况，布置下一阶段的施工现场扬尘环境保护工作。</w:t>
      </w:r>
    </w:p>
    <w:p w14:paraId="7020B1E6" w14:textId="77777777" w:rsidR="000B2A86" w:rsidRDefault="00B66DB0">
      <w:pPr>
        <w:pStyle w:val="20"/>
        <w:spacing w:before="156" w:after="156"/>
      </w:pPr>
      <w:bookmarkStart w:id="42" w:name="_Toc6449"/>
      <w:r>
        <w:rPr>
          <w:rFonts w:hint="eastAsia"/>
        </w:rPr>
        <w:t>7</w:t>
      </w:r>
      <w:r>
        <w:rPr>
          <w:rFonts w:hint="eastAsia"/>
        </w:rPr>
        <w:t>.2</w:t>
      </w:r>
      <w:r>
        <w:rPr>
          <w:rFonts w:hint="eastAsia"/>
        </w:rPr>
        <w:t>扬尘检查制度</w:t>
      </w:r>
      <w:bookmarkEnd w:id="42"/>
    </w:p>
    <w:p w14:paraId="3155A703" w14:textId="77777777" w:rsidR="000B2A86" w:rsidRDefault="00B66DB0">
      <w:pPr>
        <w:ind w:firstLineChars="200" w:firstLine="560"/>
        <w:rPr>
          <w:rFonts w:ascii="仿宋" w:eastAsia="仿宋" w:hAnsi="仿宋"/>
          <w:sz w:val="28"/>
          <w:szCs w:val="28"/>
        </w:rPr>
      </w:pPr>
      <w:r>
        <w:rPr>
          <w:rFonts w:ascii="仿宋" w:eastAsia="仿宋" w:hAnsi="仿宋" w:hint="eastAsia"/>
          <w:sz w:val="28"/>
          <w:szCs w:val="28"/>
        </w:rPr>
        <w:t>建立执行施工现场扬尘检查制度。每半月组织次由各班组长、施工现场环境保护管理负责人参加的联合检查，对检查中发现的问题，开出“隐患整改通知单”，各班组长在收到“隐患整改通知单”后应根据具体情况，定时间、定人、定措施予以解决，安全员监督其落实情况。</w:t>
      </w:r>
    </w:p>
    <w:p w14:paraId="3DF4EBA4" w14:textId="77777777" w:rsidR="000B2A86" w:rsidRDefault="00B66DB0">
      <w:pPr>
        <w:pStyle w:val="20"/>
        <w:spacing w:before="156" w:after="156"/>
      </w:pPr>
      <w:bookmarkStart w:id="43" w:name="_Toc14819"/>
      <w:r>
        <w:rPr>
          <w:rFonts w:hint="eastAsia"/>
        </w:rPr>
        <w:t>7</w:t>
      </w:r>
      <w:r>
        <w:rPr>
          <w:rFonts w:hint="eastAsia"/>
        </w:rPr>
        <w:t>.3</w:t>
      </w:r>
      <w:r>
        <w:rPr>
          <w:rFonts w:hint="eastAsia"/>
        </w:rPr>
        <w:t>环境因素调查制度</w:t>
      </w:r>
      <w:bookmarkEnd w:id="43"/>
    </w:p>
    <w:p w14:paraId="7800CC57" w14:textId="77777777" w:rsidR="000B2A86" w:rsidRDefault="00B66DB0">
      <w:pPr>
        <w:rPr>
          <w:rFonts w:ascii="仿宋_GB2312" w:eastAsia="仿宋_GB2312" w:hAnsi="宋体"/>
          <w:sz w:val="28"/>
          <w:szCs w:val="28"/>
        </w:rPr>
      </w:pPr>
      <w:r>
        <w:rPr>
          <w:rFonts w:ascii="仿宋_GB2312" w:eastAsia="仿宋_GB2312" w:hAnsi="宋体" w:hint="eastAsia"/>
          <w:sz w:val="28"/>
          <w:szCs w:val="28"/>
        </w:rPr>
        <w:t>每月对重要环境影响因素进行调查，填报环境影响因素调查表。</w:t>
      </w:r>
    </w:p>
    <w:tbl>
      <w:tblPr>
        <w:tblW w:w="9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4"/>
        <w:gridCol w:w="1704"/>
        <w:gridCol w:w="2268"/>
        <w:gridCol w:w="2184"/>
      </w:tblGrid>
      <w:tr w:rsidR="000B2A86" w14:paraId="0D2105EA" w14:textId="77777777">
        <w:trPr>
          <w:trHeight w:val="619"/>
        </w:trPr>
        <w:tc>
          <w:tcPr>
            <w:tcW w:w="710" w:type="dxa"/>
            <w:vAlign w:val="center"/>
          </w:tcPr>
          <w:p w14:paraId="51AC16AC" w14:textId="77777777" w:rsidR="000B2A86" w:rsidRDefault="00B66DB0">
            <w:pPr>
              <w:spacing w:line="0" w:lineRule="atLeast"/>
              <w:jc w:val="center"/>
              <w:rPr>
                <w:rFonts w:ascii="仿宋" w:eastAsia="仿宋" w:hAnsi="仿宋"/>
                <w:b/>
                <w:sz w:val="24"/>
              </w:rPr>
            </w:pPr>
            <w:r>
              <w:rPr>
                <w:rFonts w:ascii="仿宋" w:eastAsia="仿宋" w:hAnsi="仿宋" w:hint="eastAsia"/>
                <w:b/>
                <w:sz w:val="24"/>
              </w:rPr>
              <w:t>序号</w:t>
            </w:r>
          </w:p>
        </w:tc>
        <w:tc>
          <w:tcPr>
            <w:tcW w:w="2694" w:type="dxa"/>
            <w:vAlign w:val="center"/>
          </w:tcPr>
          <w:p w14:paraId="51EEA212" w14:textId="77777777" w:rsidR="000B2A86" w:rsidRDefault="00B66DB0">
            <w:pPr>
              <w:spacing w:line="0" w:lineRule="atLeast"/>
              <w:jc w:val="center"/>
              <w:rPr>
                <w:rFonts w:ascii="仿宋" w:eastAsia="仿宋" w:hAnsi="仿宋"/>
                <w:b/>
                <w:sz w:val="24"/>
              </w:rPr>
            </w:pPr>
            <w:r>
              <w:rPr>
                <w:rFonts w:ascii="仿宋" w:eastAsia="仿宋" w:hAnsi="仿宋" w:hint="eastAsia"/>
                <w:b/>
                <w:sz w:val="24"/>
              </w:rPr>
              <w:t>作业活动</w:t>
            </w:r>
          </w:p>
        </w:tc>
        <w:tc>
          <w:tcPr>
            <w:tcW w:w="1704" w:type="dxa"/>
            <w:vAlign w:val="center"/>
          </w:tcPr>
          <w:p w14:paraId="4ACC615C" w14:textId="77777777" w:rsidR="000B2A86" w:rsidRDefault="00B66DB0">
            <w:pPr>
              <w:spacing w:line="0" w:lineRule="atLeast"/>
              <w:jc w:val="center"/>
              <w:rPr>
                <w:rFonts w:ascii="仿宋" w:eastAsia="仿宋" w:hAnsi="仿宋"/>
                <w:b/>
                <w:sz w:val="24"/>
              </w:rPr>
            </w:pPr>
            <w:r>
              <w:rPr>
                <w:rFonts w:ascii="仿宋" w:eastAsia="仿宋" w:hAnsi="仿宋" w:hint="eastAsia"/>
                <w:b/>
                <w:sz w:val="24"/>
              </w:rPr>
              <w:t>重大环境因素</w:t>
            </w:r>
          </w:p>
        </w:tc>
        <w:tc>
          <w:tcPr>
            <w:tcW w:w="2268" w:type="dxa"/>
            <w:vAlign w:val="center"/>
          </w:tcPr>
          <w:p w14:paraId="1DBFD194" w14:textId="77777777" w:rsidR="000B2A86" w:rsidRDefault="00B66DB0">
            <w:pPr>
              <w:spacing w:line="0" w:lineRule="atLeast"/>
              <w:jc w:val="center"/>
              <w:rPr>
                <w:rFonts w:ascii="仿宋" w:eastAsia="仿宋" w:hAnsi="仿宋"/>
                <w:b/>
                <w:sz w:val="24"/>
              </w:rPr>
            </w:pPr>
            <w:r>
              <w:rPr>
                <w:rFonts w:ascii="仿宋" w:eastAsia="仿宋" w:hAnsi="仿宋" w:hint="eastAsia"/>
                <w:b/>
                <w:sz w:val="24"/>
              </w:rPr>
              <w:t>可能导致环境影响</w:t>
            </w:r>
          </w:p>
        </w:tc>
        <w:tc>
          <w:tcPr>
            <w:tcW w:w="2184" w:type="dxa"/>
            <w:vAlign w:val="center"/>
          </w:tcPr>
          <w:p w14:paraId="62D7D55C" w14:textId="77777777" w:rsidR="000B2A86" w:rsidRDefault="00B66DB0">
            <w:pPr>
              <w:spacing w:line="0" w:lineRule="atLeast"/>
              <w:jc w:val="center"/>
              <w:rPr>
                <w:rFonts w:ascii="仿宋" w:eastAsia="仿宋" w:hAnsi="仿宋"/>
                <w:b/>
                <w:sz w:val="24"/>
              </w:rPr>
            </w:pPr>
            <w:r>
              <w:rPr>
                <w:rFonts w:ascii="仿宋" w:eastAsia="仿宋" w:hAnsi="仿宋" w:hint="eastAsia"/>
                <w:b/>
                <w:sz w:val="24"/>
              </w:rPr>
              <w:t>控制措施</w:t>
            </w:r>
          </w:p>
        </w:tc>
      </w:tr>
      <w:tr w:rsidR="000B2A86" w14:paraId="7467B09D" w14:textId="77777777">
        <w:trPr>
          <w:trHeight w:hRule="exact" w:val="680"/>
        </w:trPr>
        <w:tc>
          <w:tcPr>
            <w:tcW w:w="710" w:type="dxa"/>
            <w:vAlign w:val="center"/>
          </w:tcPr>
          <w:p w14:paraId="46EC8D2B" w14:textId="77777777" w:rsidR="000B2A86" w:rsidRDefault="00B66DB0">
            <w:pPr>
              <w:spacing w:line="0" w:lineRule="atLeast"/>
              <w:jc w:val="center"/>
              <w:rPr>
                <w:rFonts w:ascii="仿宋" w:eastAsia="仿宋" w:hAnsi="仿宋"/>
                <w:sz w:val="24"/>
              </w:rPr>
            </w:pPr>
            <w:r>
              <w:rPr>
                <w:rFonts w:ascii="仿宋" w:eastAsia="仿宋" w:hAnsi="仿宋" w:hint="eastAsia"/>
                <w:sz w:val="24"/>
              </w:rPr>
              <w:t>1</w:t>
            </w:r>
          </w:p>
        </w:tc>
        <w:tc>
          <w:tcPr>
            <w:tcW w:w="2694" w:type="dxa"/>
            <w:vAlign w:val="center"/>
          </w:tcPr>
          <w:p w14:paraId="7BF07612" w14:textId="77777777" w:rsidR="000B2A86" w:rsidRDefault="00B66DB0">
            <w:pPr>
              <w:spacing w:line="0" w:lineRule="atLeast"/>
              <w:jc w:val="center"/>
              <w:rPr>
                <w:rFonts w:ascii="仿宋" w:eastAsia="仿宋" w:hAnsi="仿宋"/>
                <w:sz w:val="24"/>
              </w:rPr>
            </w:pPr>
            <w:r>
              <w:rPr>
                <w:rFonts w:ascii="仿宋" w:eastAsia="仿宋" w:hAnsi="仿宋" w:hint="eastAsia"/>
                <w:sz w:val="24"/>
              </w:rPr>
              <w:t>建筑及生活垃圾的排放</w:t>
            </w:r>
          </w:p>
        </w:tc>
        <w:tc>
          <w:tcPr>
            <w:tcW w:w="1704" w:type="dxa"/>
            <w:vAlign w:val="center"/>
          </w:tcPr>
          <w:p w14:paraId="52EE8D5E" w14:textId="77777777" w:rsidR="000B2A86" w:rsidRDefault="00B66DB0">
            <w:pPr>
              <w:spacing w:line="0" w:lineRule="atLeast"/>
              <w:jc w:val="center"/>
              <w:rPr>
                <w:rFonts w:ascii="仿宋" w:eastAsia="仿宋" w:hAnsi="仿宋"/>
                <w:sz w:val="24"/>
              </w:rPr>
            </w:pPr>
            <w:r>
              <w:rPr>
                <w:rFonts w:ascii="仿宋" w:eastAsia="仿宋" w:hAnsi="仿宋" w:hint="eastAsia"/>
                <w:sz w:val="24"/>
              </w:rPr>
              <w:t>土壤污染</w:t>
            </w:r>
          </w:p>
        </w:tc>
        <w:tc>
          <w:tcPr>
            <w:tcW w:w="2268" w:type="dxa"/>
            <w:vAlign w:val="center"/>
          </w:tcPr>
          <w:p w14:paraId="24B240AB"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p w14:paraId="65679AB7" w14:textId="77777777" w:rsidR="000B2A86" w:rsidRDefault="00B66DB0">
            <w:pPr>
              <w:spacing w:line="0" w:lineRule="atLeast"/>
              <w:jc w:val="center"/>
              <w:rPr>
                <w:rFonts w:ascii="仿宋" w:eastAsia="仿宋" w:hAnsi="仿宋"/>
                <w:sz w:val="24"/>
              </w:rPr>
            </w:pPr>
            <w:r>
              <w:rPr>
                <w:rFonts w:ascii="仿宋" w:eastAsia="仿宋" w:hAnsi="仿宋" w:hint="eastAsia"/>
                <w:sz w:val="24"/>
              </w:rPr>
              <w:t>造成土壤变质</w:t>
            </w:r>
          </w:p>
        </w:tc>
        <w:tc>
          <w:tcPr>
            <w:tcW w:w="2184" w:type="dxa"/>
            <w:vAlign w:val="center"/>
          </w:tcPr>
          <w:p w14:paraId="52A739F8" w14:textId="77777777" w:rsidR="000B2A86" w:rsidRDefault="00B66DB0">
            <w:pPr>
              <w:spacing w:line="0" w:lineRule="atLeast"/>
              <w:jc w:val="center"/>
              <w:rPr>
                <w:rFonts w:ascii="仿宋" w:eastAsia="仿宋" w:hAnsi="仿宋"/>
                <w:sz w:val="24"/>
              </w:rPr>
            </w:pPr>
            <w:r>
              <w:rPr>
                <w:rFonts w:ascii="仿宋" w:eastAsia="仿宋" w:hAnsi="仿宋" w:hint="eastAsia"/>
                <w:sz w:val="24"/>
              </w:rPr>
              <w:t>公司废弃物管理规定</w:t>
            </w:r>
          </w:p>
        </w:tc>
      </w:tr>
      <w:tr w:rsidR="000B2A86" w14:paraId="639E6274" w14:textId="77777777">
        <w:trPr>
          <w:trHeight w:hRule="exact" w:val="680"/>
        </w:trPr>
        <w:tc>
          <w:tcPr>
            <w:tcW w:w="710" w:type="dxa"/>
            <w:vAlign w:val="center"/>
          </w:tcPr>
          <w:p w14:paraId="48EF68DA" w14:textId="77777777" w:rsidR="000B2A86" w:rsidRDefault="00B66DB0">
            <w:pPr>
              <w:spacing w:line="0" w:lineRule="atLeast"/>
              <w:jc w:val="center"/>
              <w:rPr>
                <w:rFonts w:ascii="仿宋" w:eastAsia="仿宋" w:hAnsi="仿宋"/>
                <w:sz w:val="24"/>
              </w:rPr>
            </w:pPr>
            <w:r>
              <w:rPr>
                <w:rFonts w:ascii="仿宋" w:eastAsia="仿宋" w:hAnsi="仿宋" w:hint="eastAsia"/>
                <w:sz w:val="24"/>
              </w:rPr>
              <w:t>2</w:t>
            </w:r>
          </w:p>
        </w:tc>
        <w:tc>
          <w:tcPr>
            <w:tcW w:w="2694" w:type="dxa"/>
            <w:vAlign w:val="center"/>
          </w:tcPr>
          <w:p w14:paraId="239649BD" w14:textId="77777777" w:rsidR="000B2A86" w:rsidRDefault="00B66DB0">
            <w:pPr>
              <w:spacing w:line="0" w:lineRule="atLeast"/>
              <w:jc w:val="center"/>
              <w:rPr>
                <w:rFonts w:ascii="仿宋" w:eastAsia="仿宋" w:hAnsi="仿宋"/>
                <w:sz w:val="24"/>
              </w:rPr>
            </w:pPr>
            <w:r>
              <w:rPr>
                <w:rFonts w:ascii="仿宋" w:eastAsia="仿宋" w:hAnsi="仿宋" w:hint="eastAsia"/>
                <w:sz w:val="24"/>
              </w:rPr>
              <w:t>泥浆及生活污水排放</w:t>
            </w:r>
          </w:p>
        </w:tc>
        <w:tc>
          <w:tcPr>
            <w:tcW w:w="1704" w:type="dxa"/>
            <w:vAlign w:val="center"/>
          </w:tcPr>
          <w:p w14:paraId="5797A9A1" w14:textId="77777777" w:rsidR="000B2A86" w:rsidRDefault="00B66DB0">
            <w:pPr>
              <w:spacing w:line="0" w:lineRule="atLeast"/>
              <w:jc w:val="center"/>
              <w:rPr>
                <w:rFonts w:ascii="仿宋" w:eastAsia="仿宋" w:hAnsi="仿宋"/>
                <w:sz w:val="24"/>
              </w:rPr>
            </w:pPr>
            <w:r>
              <w:rPr>
                <w:rFonts w:ascii="仿宋" w:eastAsia="仿宋" w:hAnsi="仿宋" w:hint="eastAsia"/>
                <w:sz w:val="24"/>
              </w:rPr>
              <w:t>废水排放</w:t>
            </w:r>
          </w:p>
        </w:tc>
        <w:tc>
          <w:tcPr>
            <w:tcW w:w="2268" w:type="dxa"/>
            <w:vAlign w:val="center"/>
          </w:tcPr>
          <w:p w14:paraId="70537AC0" w14:textId="77777777" w:rsidR="000B2A86" w:rsidRDefault="00B66DB0">
            <w:pPr>
              <w:spacing w:line="0" w:lineRule="atLeast"/>
              <w:jc w:val="center"/>
              <w:rPr>
                <w:rFonts w:ascii="仿宋" w:eastAsia="仿宋" w:hAnsi="仿宋"/>
                <w:sz w:val="24"/>
              </w:rPr>
            </w:pPr>
            <w:r>
              <w:rPr>
                <w:rFonts w:ascii="仿宋" w:eastAsia="仿宋" w:hAnsi="仿宋" w:hint="eastAsia"/>
                <w:sz w:val="24"/>
              </w:rPr>
              <w:t>堵塞城市管道</w:t>
            </w:r>
          </w:p>
          <w:p w14:paraId="4D98FBDB"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影响居民生活</w:t>
            </w:r>
          </w:p>
        </w:tc>
        <w:tc>
          <w:tcPr>
            <w:tcW w:w="2184" w:type="dxa"/>
            <w:vAlign w:val="center"/>
          </w:tcPr>
          <w:p w14:paraId="0102CDD0" w14:textId="77777777" w:rsidR="000B2A86" w:rsidRDefault="00B66DB0">
            <w:pPr>
              <w:spacing w:line="0" w:lineRule="atLeast"/>
              <w:jc w:val="center"/>
              <w:rPr>
                <w:rFonts w:ascii="仿宋" w:eastAsia="仿宋" w:hAnsi="仿宋"/>
                <w:sz w:val="24"/>
              </w:rPr>
            </w:pPr>
            <w:r>
              <w:rPr>
                <w:rFonts w:ascii="仿宋" w:eastAsia="仿宋" w:hAnsi="仿宋" w:hint="eastAsia"/>
                <w:sz w:val="24"/>
              </w:rPr>
              <w:t>二级沉淀，三级排放</w:t>
            </w:r>
          </w:p>
        </w:tc>
      </w:tr>
      <w:tr w:rsidR="000B2A86" w14:paraId="08B95D3A" w14:textId="77777777">
        <w:trPr>
          <w:trHeight w:hRule="exact" w:val="680"/>
        </w:trPr>
        <w:tc>
          <w:tcPr>
            <w:tcW w:w="710" w:type="dxa"/>
            <w:vAlign w:val="center"/>
          </w:tcPr>
          <w:p w14:paraId="4E33D754" w14:textId="77777777" w:rsidR="000B2A86" w:rsidRDefault="00B66DB0">
            <w:pPr>
              <w:spacing w:line="0" w:lineRule="atLeast"/>
              <w:jc w:val="center"/>
              <w:rPr>
                <w:rFonts w:ascii="仿宋" w:eastAsia="仿宋" w:hAnsi="仿宋"/>
                <w:sz w:val="24"/>
              </w:rPr>
            </w:pPr>
            <w:r>
              <w:rPr>
                <w:rFonts w:ascii="仿宋" w:eastAsia="仿宋" w:hAnsi="仿宋" w:hint="eastAsia"/>
                <w:sz w:val="24"/>
              </w:rPr>
              <w:t>3</w:t>
            </w:r>
          </w:p>
        </w:tc>
        <w:tc>
          <w:tcPr>
            <w:tcW w:w="2694" w:type="dxa"/>
            <w:vAlign w:val="center"/>
          </w:tcPr>
          <w:p w14:paraId="35D898FE" w14:textId="77777777" w:rsidR="000B2A86" w:rsidRDefault="00B66DB0">
            <w:pPr>
              <w:spacing w:line="0" w:lineRule="atLeast"/>
              <w:jc w:val="center"/>
              <w:rPr>
                <w:rFonts w:ascii="仿宋" w:eastAsia="仿宋" w:hAnsi="仿宋"/>
                <w:sz w:val="24"/>
              </w:rPr>
            </w:pPr>
            <w:r>
              <w:rPr>
                <w:rFonts w:ascii="仿宋" w:eastAsia="仿宋" w:hAnsi="仿宋" w:hint="eastAsia"/>
                <w:sz w:val="24"/>
              </w:rPr>
              <w:t>道路楼层清扫</w:t>
            </w:r>
          </w:p>
        </w:tc>
        <w:tc>
          <w:tcPr>
            <w:tcW w:w="1704" w:type="dxa"/>
            <w:vAlign w:val="center"/>
          </w:tcPr>
          <w:p w14:paraId="51721C31"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21B06E6D"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p w14:paraId="08891149"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影响职工健康</w:t>
            </w:r>
          </w:p>
        </w:tc>
        <w:tc>
          <w:tcPr>
            <w:tcW w:w="2184" w:type="dxa"/>
            <w:vAlign w:val="center"/>
          </w:tcPr>
          <w:p w14:paraId="0D68CE27"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r w:rsidR="000B2A86" w14:paraId="392A407B" w14:textId="77777777">
        <w:trPr>
          <w:trHeight w:hRule="exact" w:val="680"/>
        </w:trPr>
        <w:tc>
          <w:tcPr>
            <w:tcW w:w="710" w:type="dxa"/>
            <w:vAlign w:val="center"/>
          </w:tcPr>
          <w:p w14:paraId="4A3A303E" w14:textId="77777777" w:rsidR="000B2A86" w:rsidRDefault="00B66DB0">
            <w:pPr>
              <w:spacing w:line="0" w:lineRule="atLeast"/>
              <w:jc w:val="center"/>
              <w:rPr>
                <w:rFonts w:ascii="仿宋" w:eastAsia="仿宋" w:hAnsi="仿宋"/>
                <w:sz w:val="24"/>
              </w:rPr>
            </w:pPr>
            <w:r>
              <w:rPr>
                <w:rFonts w:ascii="仿宋" w:eastAsia="仿宋" w:hAnsi="仿宋" w:hint="eastAsia"/>
                <w:sz w:val="24"/>
              </w:rPr>
              <w:t>4</w:t>
            </w:r>
          </w:p>
        </w:tc>
        <w:tc>
          <w:tcPr>
            <w:tcW w:w="2694" w:type="dxa"/>
            <w:vAlign w:val="center"/>
          </w:tcPr>
          <w:p w14:paraId="3559A0E0" w14:textId="77777777" w:rsidR="000B2A86" w:rsidRDefault="00B66DB0">
            <w:pPr>
              <w:spacing w:line="0" w:lineRule="atLeast"/>
              <w:jc w:val="center"/>
              <w:rPr>
                <w:rFonts w:ascii="仿宋" w:eastAsia="仿宋" w:hAnsi="仿宋"/>
                <w:sz w:val="24"/>
              </w:rPr>
            </w:pPr>
            <w:r>
              <w:rPr>
                <w:rFonts w:ascii="仿宋" w:eastAsia="仿宋" w:hAnsi="仿宋" w:hint="eastAsia"/>
                <w:sz w:val="24"/>
              </w:rPr>
              <w:t>脚手架清理</w:t>
            </w:r>
          </w:p>
        </w:tc>
        <w:tc>
          <w:tcPr>
            <w:tcW w:w="1704" w:type="dxa"/>
            <w:vAlign w:val="center"/>
          </w:tcPr>
          <w:p w14:paraId="4A7D8FDC"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4E04C6A2"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p w14:paraId="28451B48"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影响职工健康</w:t>
            </w:r>
          </w:p>
        </w:tc>
        <w:tc>
          <w:tcPr>
            <w:tcW w:w="2184" w:type="dxa"/>
            <w:vAlign w:val="center"/>
          </w:tcPr>
          <w:p w14:paraId="7E34583E"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r w:rsidR="000B2A86" w14:paraId="6B3D891F" w14:textId="77777777">
        <w:trPr>
          <w:trHeight w:hRule="exact" w:val="680"/>
        </w:trPr>
        <w:tc>
          <w:tcPr>
            <w:tcW w:w="710" w:type="dxa"/>
            <w:vAlign w:val="center"/>
          </w:tcPr>
          <w:p w14:paraId="24F86F33" w14:textId="77777777" w:rsidR="000B2A86" w:rsidRDefault="00B66DB0">
            <w:pPr>
              <w:spacing w:line="0" w:lineRule="atLeast"/>
              <w:jc w:val="center"/>
              <w:rPr>
                <w:rFonts w:ascii="仿宋" w:eastAsia="仿宋" w:hAnsi="仿宋"/>
                <w:sz w:val="24"/>
              </w:rPr>
            </w:pPr>
            <w:r>
              <w:rPr>
                <w:rFonts w:ascii="仿宋" w:eastAsia="仿宋" w:hAnsi="仿宋" w:hint="eastAsia"/>
                <w:sz w:val="24"/>
              </w:rPr>
              <w:t>5</w:t>
            </w:r>
          </w:p>
        </w:tc>
        <w:tc>
          <w:tcPr>
            <w:tcW w:w="2694" w:type="dxa"/>
            <w:vAlign w:val="center"/>
          </w:tcPr>
          <w:p w14:paraId="69CEBA10" w14:textId="77777777" w:rsidR="000B2A86" w:rsidRDefault="00B66DB0">
            <w:pPr>
              <w:spacing w:line="0" w:lineRule="atLeast"/>
              <w:jc w:val="center"/>
              <w:rPr>
                <w:rFonts w:ascii="仿宋" w:eastAsia="仿宋" w:hAnsi="仿宋"/>
                <w:sz w:val="24"/>
              </w:rPr>
            </w:pPr>
            <w:r>
              <w:rPr>
                <w:rFonts w:ascii="仿宋" w:eastAsia="仿宋" w:hAnsi="仿宋" w:hint="eastAsia"/>
                <w:sz w:val="24"/>
              </w:rPr>
              <w:t>木工作业</w:t>
            </w:r>
          </w:p>
        </w:tc>
        <w:tc>
          <w:tcPr>
            <w:tcW w:w="1704" w:type="dxa"/>
            <w:vAlign w:val="center"/>
          </w:tcPr>
          <w:p w14:paraId="3AC4DD0B"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2D60B1AF"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p w14:paraId="718D535F"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影响职工健康</w:t>
            </w:r>
          </w:p>
        </w:tc>
        <w:tc>
          <w:tcPr>
            <w:tcW w:w="2184" w:type="dxa"/>
            <w:vAlign w:val="center"/>
          </w:tcPr>
          <w:p w14:paraId="55C46AAE"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r w:rsidR="000B2A86" w14:paraId="7A455500" w14:textId="77777777">
        <w:trPr>
          <w:trHeight w:hRule="exact" w:val="680"/>
        </w:trPr>
        <w:tc>
          <w:tcPr>
            <w:tcW w:w="710" w:type="dxa"/>
            <w:vAlign w:val="center"/>
          </w:tcPr>
          <w:p w14:paraId="32C26A64" w14:textId="77777777" w:rsidR="000B2A86" w:rsidRDefault="00B66DB0">
            <w:pPr>
              <w:spacing w:line="0" w:lineRule="atLeast"/>
              <w:jc w:val="center"/>
              <w:rPr>
                <w:rFonts w:ascii="仿宋" w:eastAsia="仿宋" w:hAnsi="仿宋"/>
                <w:sz w:val="24"/>
              </w:rPr>
            </w:pPr>
            <w:r>
              <w:rPr>
                <w:rFonts w:ascii="仿宋" w:eastAsia="仿宋" w:hAnsi="仿宋" w:hint="eastAsia"/>
                <w:sz w:val="24"/>
              </w:rPr>
              <w:t>6</w:t>
            </w:r>
          </w:p>
        </w:tc>
        <w:tc>
          <w:tcPr>
            <w:tcW w:w="2694" w:type="dxa"/>
            <w:vAlign w:val="center"/>
          </w:tcPr>
          <w:p w14:paraId="6778492E" w14:textId="77777777" w:rsidR="000B2A86" w:rsidRDefault="00B66DB0">
            <w:pPr>
              <w:spacing w:line="0" w:lineRule="atLeast"/>
              <w:jc w:val="center"/>
              <w:rPr>
                <w:rFonts w:ascii="仿宋" w:eastAsia="仿宋" w:hAnsi="仿宋"/>
                <w:sz w:val="24"/>
              </w:rPr>
            </w:pPr>
            <w:r>
              <w:rPr>
                <w:rFonts w:ascii="仿宋" w:eastAsia="仿宋" w:hAnsi="仿宋" w:hint="eastAsia"/>
                <w:sz w:val="24"/>
              </w:rPr>
              <w:t>垃圾、材料运输</w:t>
            </w:r>
          </w:p>
        </w:tc>
        <w:tc>
          <w:tcPr>
            <w:tcW w:w="1704" w:type="dxa"/>
            <w:vAlign w:val="center"/>
          </w:tcPr>
          <w:p w14:paraId="0C9C5529"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647BCB80"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tc>
        <w:tc>
          <w:tcPr>
            <w:tcW w:w="2184" w:type="dxa"/>
            <w:vAlign w:val="center"/>
          </w:tcPr>
          <w:p w14:paraId="7C3AE3E2"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r w:rsidR="000B2A86" w14:paraId="09C82E95" w14:textId="77777777">
        <w:trPr>
          <w:trHeight w:hRule="exact" w:val="680"/>
        </w:trPr>
        <w:tc>
          <w:tcPr>
            <w:tcW w:w="710" w:type="dxa"/>
            <w:vAlign w:val="center"/>
          </w:tcPr>
          <w:p w14:paraId="50DAE399" w14:textId="77777777" w:rsidR="000B2A86" w:rsidRDefault="00B66DB0">
            <w:pPr>
              <w:spacing w:line="0" w:lineRule="atLeast"/>
              <w:jc w:val="center"/>
              <w:rPr>
                <w:rFonts w:ascii="仿宋" w:eastAsia="仿宋" w:hAnsi="仿宋"/>
                <w:sz w:val="24"/>
              </w:rPr>
            </w:pPr>
            <w:r>
              <w:rPr>
                <w:rFonts w:ascii="仿宋" w:eastAsia="仿宋" w:hAnsi="仿宋" w:hint="eastAsia"/>
                <w:sz w:val="24"/>
              </w:rPr>
              <w:lastRenderedPageBreak/>
              <w:t>7</w:t>
            </w:r>
          </w:p>
        </w:tc>
        <w:tc>
          <w:tcPr>
            <w:tcW w:w="2694" w:type="dxa"/>
            <w:vAlign w:val="center"/>
          </w:tcPr>
          <w:p w14:paraId="785A557F" w14:textId="77777777" w:rsidR="000B2A86" w:rsidRDefault="00B66DB0">
            <w:pPr>
              <w:spacing w:line="0" w:lineRule="atLeast"/>
              <w:jc w:val="center"/>
              <w:rPr>
                <w:rFonts w:ascii="仿宋" w:eastAsia="仿宋" w:hAnsi="仿宋"/>
                <w:sz w:val="24"/>
              </w:rPr>
            </w:pPr>
            <w:r>
              <w:rPr>
                <w:rFonts w:ascii="仿宋" w:eastAsia="仿宋" w:hAnsi="仿宋" w:hint="eastAsia"/>
                <w:sz w:val="24"/>
              </w:rPr>
              <w:t>露天材料堆放</w:t>
            </w:r>
          </w:p>
        </w:tc>
        <w:tc>
          <w:tcPr>
            <w:tcW w:w="1704" w:type="dxa"/>
            <w:vAlign w:val="center"/>
          </w:tcPr>
          <w:p w14:paraId="3C8EDF13"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5010B225"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p w14:paraId="2B8F11E8"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影响职工健康</w:t>
            </w:r>
          </w:p>
        </w:tc>
        <w:tc>
          <w:tcPr>
            <w:tcW w:w="2184" w:type="dxa"/>
            <w:vAlign w:val="center"/>
          </w:tcPr>
          <w:p w14:paraId="2AAEAA4E"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r w:rsidR="000B2A86" w14:paraId="52E9F585" w14:textId="77777777">
        <w:trPr>
          <w:trHeight w:hRule="exact" w:val="680"/>
        </w:trPr>
        <w:tc>
          <w:tcPr>
            <w:tcW w:w="710" w:type="dxa"/>
            <w:vAlign w:val="center"/>
          </w:tcPr>
          <w:p w14:paraId="5FAFBF1A" w14:textId="77777777" w:rsidR="000B2A86" w:rsidRDefault="00B66DB0">
            <w:pPr>
              <w:spacing w:line="0" w:lineRule="atLeast"/>
              <w:jc w:val="center"/>
              <w:rPr>
                <w:rFonts w:ascii="仿宋" w:eastAsia="仿宋" w:hAnsi="仿宋"/>
                <w:sz w:val="24"/>
              </w:rPr>
            </w:pPr>
            <w:r>
              <w:rPr>
                <w:rFonts w:ascii="仿宋" w:eastAsia="仿宋" w:hAnsi="仿宋" w:hint="eastAsia"/>
                <w:sz w:val="24"/>
              </w:rPr>
              <w:t>8</w:t>
            </w:r>
          </w:p>
        </w:tc>
        <w:tc>
          <w:tcPr>
            <w:tcW w:w="2694" w:type="dxa"/>
            <w:vAlign w:val="center"/>
          </w:tcPr>
          <w:p w14:paraId="74433264" w14:textId="77777777" w:rsidR="000B2A86" w:rsidRDefault="00B66DB0">
            <w:pPr>
              <w:spacing w:line="0" w:lineRule="atLeast"/>
              <w:jc w:val="center"/>
              <w:rPr>
                <w:rFonts w:ascii="仿宋" w:eastAsia="仿宋" w:hAnsi="仿宋"/>
                <w:sz w:val="24"/>
              </w:rPr>
            </w:pPr>
            <w:r>
              <w:rPr>
                <w:rFonts w:ascii="仿宋" w:eastAsia="仿宋" w:hAnsi="仿宋" w:hint="eastAsia"/>
                <w:sz w:val="24"/>
              </w:rPr>
              <w:t>土方外运</w:t>
            </w:r>
          </w:p>
        </w:tc>
        <w:tc>
          <w:tcPr>
            <w:tcW w:w="1704" w:type="dxa"/>
            <w:vAlign w:val="center"/>
          </w:tcPr>
          <w:p w14:paraId="50F12063" w14:textId="77777777" w:rsidR="000B2A86" w:rsidRDefault="00B66DB0">
            <w:pPr>
              <w:spacing w:line="0" w:lineRule="atLeast"/>
              <w:jc w:val="center"/>
              <w:rPr>
                <w:rFonts w:ascii="仿宋" w:eastAsia="仿宋" w:hAnsi="仿宋"/>
                <w:sz w:val="24"/>
              </w:rPr>
            </w:pPr>
            <w:r>
              <w:rPr>
                <w:rFonts w:ascii="仿宋" w:eastAsia="仿宋" w:hAnsi="仿宋" w:hint="eastAsia"/>
                <w:sz w:val="24"/>
              </w:rPr>
              <w:t>扬尘污染</w:t>
            </w:r>
          </w:p>
        </w:tc>
        <w:tc>
          <w:tcPr>
            <w:tcW w:w="2268" w:type="dxa"/>
            <w:vAlign w:val="center"/>
          </w:tcPr>
          <w:p w14:paraId="4D744BC2" w14:textId="77777777" w:rsidR="000B2A86" w:rsidRDefault="00B66DB0">
            <w:pPr>
              <w:spacing w:line="0" w:lineRule="atLeast"/>
              <w:jc w:val="center"/>
              <w:rPr>
                <w:rFonts w:ascii="仿宋" w:eastAsia="仿宋" w:hAnsi="仿宋"/>
                <w:sz w:val="24"/>
              </w:rPr>
            </w:pPr>
            <w:r>
              <w:rPr>
                <w:rFonts w:ascii="仿宋" w:eastAsia="仿宋" w:hAnsi="仿宋" w:hint="eastAsia"/>
                <w:sz w:val="24"/>
              </w:rPr>
              <w:t>影响市容环境</w:t>
            </w:r>
          </w:p>
        </w:tc>
        <w:tc>
          <w:tcPr>
            <w:tcW w:w="2184" w:type="dxa"/>
            <w:vAlign w:val="center"/>
          </w:tcPr>
          <w:p w14:paraId="018B2A7F" w14:textId="77777777" w:rsidR="000B2A86" w:rsidRDefault="00B66DB0">
            <w:pPr>
              <w:spacing w:line="0" w:lineRule="atLeast"/>
              <w:jc w:val="center"/>
              <w:rPr>
                <w:rFonts w:ascii="仿宋" w:eastAsia="仿宋" w:hAnsi="仿宋"/>
                <w:sz w:val="24"/>
              </w:rPr>
            </w:pPr>
            <w:r>
              <w:rPr>
                <w:rFonts w:ascii="仿宋" w:eastAsia="仿宋" w:hAnsi="仿宋" w:hint="eastAsia"/>
                <w:sz w:val="24"/>
              </w:rPr>
              <w:t>制定施工扬尘专项控制方案</w:t>
            </w:r>
          </w:p>
        </w:tc>
      </w:tr>
    </w:tbl>
    <w:p w14:paraId="747CCFAC" w14:textId="77777777" w:rsidR="000B2A86" w:rsidRDefault="00B66DB0">
      <w:pPr>
        <w:pStyle w:val="20"/>
        <w:spacing w:before="156" w:after="156"/>
      </w:pPr>
      <w:bookmarkStart w:id="44" w:name="_Toc27867"/>
      <w:r>
        <w:rPr>
          <w:rFonts w:hint="eastAsia"/>
        </w:rPr>
        <w:t>7</w:t>
      </w:r>
      <w:r>
        <w:rPr>
          <w:rFonts w:hint="eastAsia"/>
        </w:rPr>
        <w:t>.4</w:t>
      </w:r>
      <w:r>
        <w:rPr>
          <w:rFonts w:hint="eastAsia"/>
        </w:rPr>
        <w:t>环境保护培训制度</w:t>
      </w:r>
      <w:bookmarkEnd w:id="44"/>
    </w:p>
    <w:p w14:paraId="7337F56A" w14:textId="77777777" w:rsidR="000B2A86" w:rsidRDefault="00B66DB0">
      <w:pPr>
        <w:tabs>
          <w:tab w:val="left" w:pos="315"/>
          <w:tab w:val="left" w:pos="1050"/>
          <w:tab w:val="left" w:pos="1260"/>
          <w:tab w:val="left" w:pos="1470"/>
          <w:tab w:val="left" w:pos="1890"/>
        </w:tabs>
        <w:ind w:firstLineChars="200" w:firstLine="560"/>
        <w:rPr>
          <w:rFonts w:ascii="仿宋_GB2312" w:eastAsia="仿宋_GB2312" w:hAnsi="宋体"/>
          <w:sz w:val="28"/>
          <w:szCs w:val="28"/>
        </w:rPr>
      </w:pPr>
      <w:r>
        <w:rPr>
          <w:rFonts w:ascii="仿宋_GB2312" w:eastAsia="仿宋_GB2312" w:hAnsi="宋体" w:hint="eastAsia"/>
          <w:sz w:val="28"/>
          <w:szCs w:val="28"/>
        </w:rPr>
        <w:t>不定期组织工地的业务人员学习国家、</w:t>
      </w:r>
      <w:r>
        <w:rPr>
          <w:rFonts w:ascii="仿宋_GB2312" w:eastAsia="仿宋_GB2312" w:hAnsi="宋体" w:hint="eastAsia"/>
          <w:sz w:val="28"/>
          <w:szCs w:val="28"/>
        </w:rPr>
        <w:t>河北省</w:t>
      </w:r>
      <w:r>
        <w:rPr>
          <w:rFonts w:ascii="仿宋_GB2312" w:eastAsia="仿宋_GB2312" w:hAnsi="宋体" w:hint="eastAsia"/>
          <w:sz w:val="28"/>
          <w:szCs w:val="28"/>
        </w:rPr>
        <w:t>及公司有关环保的法令、法规、条例，使每个人都了解</w:t>
      </w:r>
      <w:r>
        <w:rPr>
          <w:rFonts w:ascii="仿宋_GB2312" w:eastAsia="仿宋_GB2312" w:hAnsi="宋体" w:hint="eastAsia"/>
          <w:sz w:val="28"/>
          <w:szCs w:val="28"/>
        </w:rPr>
        <w:t>河北省</w:t>
      </w:r>
      <w:r>
        <w:rPr>
          <w:rFonts w:ascii="仿宋_GB2312" w:eastAsia="仿宋_GB2312" w:hAnsi="宋体" w:hint="eastAsia"/>
          <w:sz w:val="28"/>
          <w:szCs w:val="28"/>
        </w:rPr>
        <w:t>文明工地的要求和内容。施工现场要经常采取多种形式的环保教育活动，施工队进场集体进行环保教育，不断提高职工的环保意识和法制观念，未通过环保考核者，不得上岗。在普及环保知识的同时，不定期的进行环保知识的考核检查，并鼓励环保革新发明活动。</w:t>
      </w:r>
    </w:p>
    <w:p w14:paraId="44CECE21" w14:textId="77777777" w:rsidR="000B2A86" w:rsidRDefault="00B66DB0">
      <w:pPr>
        <w:pStyle w:val="20"/>
        <w:spacing w:before="156" w:after="156"/>
      </w:pPr>
      <w:bookmarkStart w:id="45" w:name="_Toc20342"/>
      <w:r>
        <w:rPr>
          <w:rFonts w:hint="eastAsia"/>
        </w:rPr>
        <w:t>7</w:t>
      </w:r>
      <w:r>
        <w:rPr>
          <w:rFonts w:hint="eastAsia"/>
        </w:rPr>
        <w:t>.5</w:t>
      </w:r>
      <w:r>
        <w:rPr>
          <w:rFonts w:hint="eastAsia"/>
        </w:rPr>
        <w:t>防止大气污染制度</w:t>
      </w:r>
      <w:bookmarkEnd w:id="45"/>
    </w:p>
    <w:p w14:paraId="4CC6B41C" w14:textId="77777777" w:rsidR="000B2A86" w:rsidRDefault="00B66DB0">
      <w:pPr>
        <w:tabs>
          <w:tab w:val="left" w:pos="315"/>
          <w:tab w:val="left" w:pos="1050"/>
          <w:tab w:val="left" w:pos="1260"/>
          <w:tab w:val="left" w:pos="1470"/>
          <w:tab w:val="left" w:pos="1890"/>
          <w:tab w:val="left" w:pos="2561"/>
        </w:tabs>
        <w:ind w:firstLineChars="200" w:firstLine="560"/>
        <w:rPr>
          <w:rFonts w:ascii="仿宋_GB2312" w:eastAsia="仿宋_GB2312" w:hAnsi="宋体"/>
          <w:sz w:val="28"/>
          <w:szCs w:val="28"/>
        </w:rPr>
      </w:pPr>
      <w:r>
        <w:rPr>
          <w:rFonts w:ascii="仿宋_GB2312" w:eastAsia="仿宋_GB2312" w:hAnsi="宋体" w:hint="eastAsia"/>
          <w:sz w:val="28"/>
          <w:szCs w:val="28"/>
        </w:rPr>
        <w:t>现场采用液化石油气清洁燃料，严禁熬沥青、烧杂物。现场临时道路进行</w:t>
      </w:r>
      <w:r>
        <w:rPr>
          <w:rFonts w:ascii="仿宋_GB2312" w:eastAsia="仿宋_GB2312" w:hAnsi="宋体" w:hint="eastAsia"/>
          <w:sz w:val="28"/>
          <w:szCs w:val="28"/>
        </w:rPr>
        <w:t>100%</w:t>
      </w:r>
      <w:r>
        <w:rPr>
          <w:rFonts w:ascii="仿宋_GB2312" w:eastAsia="仿宋_GB2312" w:hAnsi="宋体" w:hint="eastAsia"/>
          <w:sz w:val="28"/>
          <w:szCs w:val="28"/>
        </w:rPr>
        <w:t>硬化处理，并定期洒水；专人清扫土方运输车辆，做好防遗撒工作；严禁凌空抛撒施工垃圾。</w:t>
      </w:r>
    </w:p>
    <w:p w14:paraId="7DF87421" w14:textId="77777777" w:rsidR="000B2A86" w:rsidRDefault="00B66DB0">
      <w:pPr>
        <w:pStyle w:val="20"/>
        <w:spacing w:before="156" w:after="156"/>
      </w:pPr>
      <w:bookmarkStart w:id="46" w:name="_Toc17676"/>
      <w:r>
        <w:rPr>
          <w:rFonts w:hint="eastAsia"/>
        </w:rPr>
        <w:t>7</w:t>
      </w:r>
      <w:r>
        <w:rPr>
          <w:rFonts w:hint="eastAsia"/>
        </w:rPr>
        <w:t>.6</w:t>
      </w:r>
      <w:r>
        <w:rPr>
          <w:rFonts w:hint="eastAsia"/>
        </w:rPr>
        <w:t>协议保障制度</w:t>
      </w:r>
      <w:bookmarkEnd w:id="46"/>
    </w:p>
    <w:p w14:paraId="3F8C0DA6"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与土方施工单位、主体施工分包签订文明施工管理协议，协议中必须强调工扬尘污染的责任，共同做好扬尘控制。</w:t>
      </w:r>
    </w:p>
    <w:p w14:paraId="7AF4764A" w14:textId="77777777" w:rsidR="000B2A86" w:rsidRDefault="00B66DB0">
      <w:pPr>
        <w:pStyle w:val="10"/>
        <w:spacing w:before="156" w:after="312"/>
      </w:pPr>
      <w:bookmarkStart w:id="47" w:name="_Toc7239"/>
      <w:r>
        <w:rPr>
          <w:rFonts w:hint="eastAsia"/>
        </w:rPr>
        <w:t>8</w:t>
      </w:r>
      <w:r>
        <w:rPr>
          <w:rFonts w:hint="eastAsia"/>
        </w:rPr>
        <w:t>、应急措施</w:t>
      </w:r>
      <w:r>
        <w:rPr>
          <w:rFonts w:hint="eastAsia"/>
        </w:rPr>
        <w:t>  </w:t>
      </w:r>
      <w:bookmarkEnd w:id="47"/>
    </w:p>
    <w:p w14:paraId="0F6ADEAF"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为了确保重大环境污染发生以后，我项目部能迅速、高效、有序地开展重大环境污染源的治理及善后工作，采取切实有效的措施及时控制污染源，及时制止重大环境污染源的继续发生，最大限度地降低对环境</w:t>
      </w:r>
      <w:r>
        <w:rPr>
          <w:rFonts w:ascii="仿宋_GB2312" w:eastAsia="仿宋_GB2312" w:hAnsi="宋体" w:hint="eastAsia"/>
          <w:sz w:val="28"/>
          <w:szCs w:val="28"/>
        </w:rPr>
        <w:lastRenderedPageBreak/>
        <w:t>的污染，特制定本项目部环境污染应急</w:t>
      </w:r>
      <w:r>
        <w:rPr>
          <w:rFonts w:ascii="仿宋_GB2312" w:eastAsia="仿宋_GB2312" w:hAnsi="宋体" w:hint="eastAsia"/>
          <w:sz w:val="28"/>
          <w:szCs w:val="28"/>
        </w:rPr>
        <w:t>准备和响应</w:t>
      </w:r>
      <w:r>
        <w:rPr>
          <w:rFonts w:ascii="仿宋_GB2312" w:eastAsia="仿宋_GB2312" w:hAnsi="宋体" w:hint="eastAsia"/>
          <w:sz w:val="28"/>
          <w:szCs w:val="28"/>
        </w:rPr>
        <w:t>.</w:t>
      </w:r>
      <w:r>
        <w:rPr>
          <w:rFonts w:ascii="仿宋_GB2312" w:eastAsia="仿宋_GB2312" w:hAnsi="宋体" w:hint="eastAsia"/>
          <w:sz w:val="28"/>
          <w:szCs w:val="28"/>
        </w:rPr>
        <w:t>  </w:t>
      </w:r>
    </w:p>
    <w:p w14:paraId="11EDA556"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6.1</w:t>
      </w:r>
      <w:r>
        <w:rPr>
          <w:rFonts w:ascii="仿宋_GB2312" w:eastAsia="仿宋_GB2312" w:hAnsi="宋体" w:hint="eastAsia"/>
          <w:sz w:val="28"/>
          <w:szCs w:val="28"/>
        </w:rPr>
        <w:t>、事件处理程序</w:t>
      </w:r>
      <w:r>
        <w:rPr>
          <w:rFonts w:ascii="仿宋_GB2312" w:eastAsia="仿宋_GB2312" w:hAnsi="宋体" w:hint="eastAsia"/>
          <w:sz w:val="28"/>
          <w:szCs w:val="28"/>
        </w:rPr>
        <w:t>  </w:t>
      </w:r>
    </w:p>
    <w:p w14:paraId="64EC8BD6"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⑴、施工现场发生一般的环境</w:t>
      </w:r>
      <w:r>
        <w:rPr>
          <w:rFonts w:ascii="仿宋_GB2312" w:eastAsia="仿宋_GB2312" w:hAnsi="宋体" w:hint="eastAsia"/>
          <w:sz w:val="28"/>
          <w:szCs w:val="28"/>
        </w:rPr>
        <w:t>(</w:t>
      </w:r>
      <w:r>
        <w:rPr>
          <w:rFonts w:ascii="仿宋_GB2312" w:eastAsia="仿宋_GB2312" w:hAnsi="宋体" w:hint="eastAsia"/>
          <w:sz w:val="28"/>
          <w:szCs w:val="28"/>
        </w:rPr>
        <w:t>如噪声超标</w:t>
      </w:r>
      <w:r>
        <w:rPr>
          <w:rFonts w:ascii="仿宋_GB2312" w:eastAsia="仿宋_GB2312" w:hAnsi="宋体" w:hint="eastAsia"/>
          <w:sz w:val="28"/>
          <w:szCs w:val="28"/>
        </w:rPr>
        <w:t>)</w:t>
      </w:r>
      <w:r>
        <w:rPr>
          <w:rFonts w:ascii="仿宋_GB2312" w:eastAsia="仿宋_GB2312" w:hAnsi="宋体" w:hint="eastAsia"/>
          <w:sz w:val="28"/>
          <w:szCs w:val="28"/>
        </w:rPr>
        <w:t>污染，项目部环境污染应急响应指挥部组织相关人员及时处理、中止施工，并制定相应的处理方案及采用有效措施，确保能达标时方可继续施工；</w:t>
      </w:r>
      <w:r>
        <w:rPr>
          <w:rFonts w:ascii="仿宋_GB2312" w:eastAsia="仿宋_GB2312" w:hAnsi="宋体" w:hint="eastAsia"/>
          <w:sz w:val="28"/>
          <w:szCs w:val="28"/>
        </w:rPr>
        <w:t>  </w:t>
      </w:r>
    </w:p>
    <w:p w14:paraId="61BD8867"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⑵、当施工现场及基地发生较为重大的环境污染，项目部应及时组织人员进行抢险，同时采取有效措施，切断污染源及时制止污染的后续发生，并及时上报总公司及有关部门：</w:t>
      </w:r>
      <w:r>
        <w:rPr>
          <w:rFonts w:ascii="仿宋_GB2312" w:eastAsia="仿宋_GB2312" w:hAnsi="宋体" w:hint="eastAsia"/>
          <w:sz w:val="28"/>
          <w:szCs w:val="28"/>
        </w:rPr>
        <w:t>  </w:t>
      </w:r>
    </w:p>
    <w:p w14:paraId="3F26B454" w14:textId="77777777" w:rsidR="000B2A86" w:rsidRDefault="00B66DB0">
      <w:pPr>
        <w:ind w:firstLineChars="200" w:firstLine="560"/>
        <w:rPr>
          <w:rFonts w:ascii="仿宋_GB2312" w:eastAsia="仿宋_GB2312" w:hAnsi="宋体"/>
          <w:sz w:val="28"/>
          <w:szCs w:val="28"/>
        </w:rPr>
      </w:pPr>
      <w:r>
        <w:rPr>
          <w:rFonts w:ascii="仿宋_GB2312" w:eastAsia="仿宋_GB2312" w:hAnsi="宋体" w:hint="eastAsia"/>
          <w:sz w:val="28"/>
          <w:szCs w:val="28"/>
        </w:rPr>
        <w:t>⑶、对很严重的环境污染发生后，要首先保护好现场，组织项目部人员进行自救并立即向公司及有关部门上报事件的初步原因、范围、估计后果。如有人</w:t>
      </w:r>
      <w:r>
        <w:rPr>
          <w:rFonts w:ascii="仿宋_GB2312" w:eastAsia="仿宋_GB2312" w:hAnsi="宋体" w:hint="eastAsia"/>
          <w:sz w:val="28"/>
          <w:szCs w:val="28"/>
        </w:rPr>
        <w:t>员在该严重的环境污染中受到人身伤害，则应立即向当地医附院进行救治。同时通知环保部门进行环境污染的检测。当总公司接到通知以后，指挥部人员赶赴现场，按各自职能组织抢险，成立抢险组。</w:t>
      </w:r>
    </w:p>
    <w:sectPr w:rsidR="000B2A86">
      <w:pgSz w:w="11906" w:h="16838"/>
      <w:pgMar w:top="1440" w:right="1644" w:bottom="1440" w:left="164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AC848" w14:textId="77777777" w:rsidR="00B66DB0" w:rsidRDefault="00B66DB0">
      <w:r>
        <w:separator/>
      </w:r>
    </w:p>
  </w:endnote>
  <w:endnote w:type="continuationSeparator" w:id="0">
    <w:p w14:paraId="4D7F26C4" w14:textId="77777777" w:rsidR="00B66DB0" w:rsidRDefault="00B6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667428"/>
    </w:sdtPr>
    <w:sdtEndPr/>
    <w:sdtContent>
      <w:p w14:paraId="03731E58" w14:textId="77777777" w:rsidR="000B2A86" w:rsidRDefault="00B66DB0">
        <w:pPr>
          <w:pStyle w:val="a6"/>
          <w:jc w:val="center"/>
        </w:pPr>
        <w:r>
          <w:fldChar w:fldCharType="begin"/>
        </w:r>
        <w:r>
          <w:instrText>PAGE   \* MERGEFORMAT</w:instrText>
        </w:r>
        <w:r>
          <w:fldChar w:fldCharType="separate"/>
        </w:r>
        <w:r>
          <w:rPr>
            <w:lang w:val="zh-CN"/>
          </w:rPr>
          <w:t>10</w:t>
        </w:r>
        <w:r>
          <w:fldChar w:fldCharType="end"/>
        </w:r>
      </w:p>
    </w:sdtContent>
  </w:sdt>
  <w:p w14:paraId="725FB55C" w14:textId="77777777" w:rsidR="000B2A86" w:rsidRDefault="000B2A8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CDDC0" w14:textId="77777777" w:rsidR="00B66DB0" w:rsidRDefault="00B66DB0">
      <w:r>
        <w:separator/>
      </w:r>
    </w:p>
  </w:footnote>
  <w:footnote w:type="continuationSeparator" w:id="0">
    <w:p w14:paraId="0048B453" w14:textId="77777777" w:rsidR="00B66DB0" w:rsidRDefault="00B66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7698" w14:textId="77777777" w:rsidR="000B2A86" w:rsidRDefault="00B66DB0">
    <w:pPr>
      <w:pStyle w:val="a8"/>
      <w:jc w:val="both"/>
      <w:rPr>
        <w:rFonts w:ascii="微软雅黑" w:eastAsia="微软雅黑" w:hAnsi="微软雅黑"/>
      </w:rPr>
    </w:pPr>
    <w:r>
      <w:rPr>
        <w:rFonts w:ascii="微软雅黑" w:eastAsia="微软雅黑" w:hAnsi="微软雅黑" w:hint="eastAsia"/>
      </w:rPr>
      <w:t>遵化碧桂园遵府</w:t>
    </w:r>
    <w:r>
      <w:rPr>
        <w:rFonts w:ascii="微软雅黑" w:eastAsia="微软雅黑" w:hAnsi="微软雅黑" w:hint="eastAsia"/>
      </w:rPr>
      <w:t>项目施工扬尘管理专项方案</w:t>
    </w:r>
    <w:r>
      <w:rPr>
        <w:rFonts w:ascii="微软雅黑" w:eastAsia="微软雅黑" w:hAnsi="微软雅黑" w:hint="eastAsia"/>
      </w:rPr>
      <w:t xml:space="preserve">                                    </w:t>
    </w:r>
    <w:r>
      <w:rPr>
        <w:rFonts w:ascii="微软雅黑" w:eastAsia="微软雅黑" w:hAnsi="微软雅黑" w:hint="eastAsia"/>
      </w:rPr>
      <w:t>中冶天工集团有限公司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92077"/>
    <w:multiLevelType w:val="multilevel"/>
    <w:tmpl w:val="15B92077"/>
    <w:lvl w:ilvl="0">
      <w:start w:val="1"/>
      <w:numFmt w:val="decimal"/>
      <w:pStyle w:val="a"/>
      <w:suff w:val="space"/>
      <w:lvlText w:val="%1."/>
      <w:lvlJc w:val="left"/>
      <w:pPr>
        <w:ind w:left="0" w:firstLine="0"/>
      </w:pPr>
      <w:rPr>
        <w:rFonts w:ascii="宋体" w:eastAsia="宋体" w:hint="eastAsia"/>
        <w:b/>
        <w:i w:val="0"/>
        <w:caps w:val="0"/>
        <w:strike w:val="0"/>
        <w:dstrike w:val="0"/>
        <w:vanish w:val="0"/>
        <w:color w:val="000000"/>
        <w:sz w:val="30"/>
        <w:vertAlign w:val="baseline"/>
        <w14:shadow w14:blurRad="0" w14:dist="0" w14:dir="0" w14:sx="0" w14:sy="0" w14:kx="0" w14:ky="0" w14:algn="none">
          <w14:srgbClr w14:val="000000"/>
        </w14:shadow>
      </w:rPr>
    </w:lvl>
    <w:lvl w:ilvl="1">
      <w:start w:val="1"/>
      <w:numFmt w:val="decimal"/>
      <w:pStyle w:val="a0"/>
      <w:suff w:val="space"/>
      <w:lvlText w:val="%1.%2."/>
      <w:lvlJc w:val="left"/>
      <w:pPr>
        <w:ind w:left="0" w:firstLine="0"/>
      </w:pPr>
      <w:rPr>
        <w:rFonts w:ascii="宋体" w:eastAsia="宋体" w:hAnsi="宋体" w:cs="Times New Roman"/>
        <w:b/>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start w:val="1"/>
      <w:numFmt w:val="decimal"/>
      <w:pStyle w:val="1"/>
      <w:suff w:val="space"/>
      <w:lvlText w:val="%1.%2.%3."/>
      <w:lvlJc w:val="left"/>
      <w:pPr>
        <w:ind w:left="0" w:firstLine="0"/>
      </w:pPr>
      <w:rPr>
        <w:rFonts w:ascii="宋体" w:eastAsia="宋体" w:hint="eastAsia"/>
        <w:b w:val="0"/>
        <w:i w:val="0"/>
        <w:caps w:val="0"/>
        <w:strike w:val="0"/>
        <w:dstrike w:val="0"/>
        <w:vanish w:val="0"/>
        <w:sz w:val="24"/>
        <w:vertAlign w:val="baseline"/>
        <w14:shadow w14:blurRad="0" w14:dist="0" w14:dir="0" w14:sx="0" w14:sy="0" w14:kx="0" w14:ky="0" w14:algn="none">
          <w14:srgbClr w14:val="000000"/>
        </w14:shadow>
      </w:rPr>
    </w:lvl>
    <w:lvl w:ilvl="3">
      <w:start w:val="1"/>
      <w:numFmt w:val="decimal"/>
      <w:pStyle w:val="2"/>
      <w:suff w:val="space"/>
      <w:lvlText w:val="%1.%2.%3.%4."/>
      <w:lvlJc w:val="left"/>
      <w:pPr>
        <w:ind w:left="0" w:firstLine="0"/>
      </w:pPr>
      <w:rPr>
        <w:rFonts w:ascii="宋体" w:eastAsia="宋体" w:hAnsi="宋体"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4">
      <w:start w:val="1"/>
      <w:numFmt w:val="decimal"/>
      <w:pStyle w:val="3"/>
      <w:suff w:val="space"/>
      <w:lvlText w:val="（%5）"/>
      <w:lvlJc w:val="left"/>
      <w:pPr>
        <w:ind w:left="0" w:firstLine="0"/>
      </w:pPr>
      <w:rPr>
        <w:rFonts w:ascii="宋体" w:eastAsia="宋体" w:hAnsi="宋体"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14:shadow w14:blurRad="0" w14:dist="0" w14:dir="0" w14:sx="0" w14:sy="0" w14:kx="0" w14:ky="0" w14:algn="none">
          <w14:srgbClr w14:val="000000"/>
        </w14:shadow>
      </w:rPr>
    </w:lvl>
    <w:lvl w:ilvl="5">
      <w:start w:val="1"/>
      <w:numFmt w:val="decimal"/>
      <w:pStyle w:val="4"/>
      <w:suff w:val="space"/>
      <w:lvlText w:val="  %6）"/>
      <w:lvlJc w:val="left"/>
      <w:pPr>
        <w:ind w:left="0" w:firstLine="0"/>
      </w:pPr>
      <w:rPr>
        <w:rFonts w:cs="Times New Roman" w:hint="eastAsia"/>
        <w:b w:val="0"/>
        <w:bCs w:val="0"/>
        <w:i w:val="0"/>
        <w:iCs w:val="0"/>
        <w:caps w:val="0"/>
        <w:smallCaps w:val="0"/>
        <w:strike w:val="0"/>
        <w:dstrike w:val="0"/>
        <w:snapToGrid w:val="0"/>
        <w:vanish w:val="0"/>
        <w:color w:val="000000"/>
        <w:spacing w:val="0"/>
        <w:kern w:val="0"/>
        <w:position w:val="0"/>
        <w:u w:val="none"/>
        <w:vertAlign w:val="baseline"/>
        <w14:shadow w14:blurRad="0" w14:dist="0" w14:dir="0" w14:sx="0" w14:sy="0" w14:kx="0" w14:ky="0" w14:algn="none">
          <w14:srgbClr w14:val="000000"/>
        </w14:shadow>
      </w:rPr>
    </w:lvl>
    <w:lvl w:ilvl="6">
      <w:start w:val="1"/>
      <w:numFmt w:val="none"/>
      <w:suff w:val="space"/>
      <w:lvlText w:val=""/>
      <w:lvlJc w:val="left"/>
      <w:pPr>
        <w:ind w:left="0" w:firstLine="0"/>
      </w:pPr>
      <w:rPr>
        <w:rFonts w:ascii="宋体" w:eastAsia="宋体" w:hint="eastAsia"/>
        <w:b w:val="0"/>
        <w:i w:val="0"/>
        <w:caps w:val="0"/>
        <w:strike w:val="0"/>
        <w:dstrike w:val="0"/>
        <w:vanish w:val="0"/>
        <w:color w:val="000000"/>
        <w:sz w:val="24"/>
        <w:vertAlign w:val="baseline"/>
        <w14:shadow w14:blurRad="0" w14:dist="0" w14:dir="0" w14:sx="0" w14:sy="0" w14:kx="0" w14:ky="0" w14:algn="none">
          <w14:srgbClr w14:val="000000"/>
        </w14:shadow>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569C5774"/>
    <w:multiLevelType w:val="singleLevel"/>
    <w:tmpl w:val="569C577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836"/>
    <w:rsid w:val="00002735"/>
    <w:rsid w:val="0003690F"/>
    <w:rsid w:val="000547F2"/>
    <w:rsid w:val="000665A7"/>
    <w:rsid w:val="00092BC6"/>
    <w:rsid w:val="000B100D"/>
    <w:rsid w:val="000B2A86"/>
    <w:rsid w:val="000C3C54"/>
    <w:rsid w:val="000D2197"/>
    <w:rsid w:val="000D436C"/>
    <w:rsid w:val="000F11A4"/>
    <w:rsid w:val="00122875"/>
    <w:rsid w:val="00123C4C"/>
    <w:rsid w:val="00125332"/>
    <w:rsid w:val="00133170"/>
    <w:rsid w:val="001515BB"/>
    <w:rsid w:val="00176A18"/>
    <w:rsid w:val="00195187"/>
    <w:rsid w:val="001A086E"/>
    <w:rsid w:val="001A4A17"/>
    <w:rsid w:val="001A4C48"/>
    <w:rsid w:val="001A67BC"/>
    <w:rsid w:val="001D2775"/>
    <w:rsid w:val="001E29D3"/>
    <w:rsid w:val="001E5C5D"/>
    <w:rsid w:val="001E5F26"/>
    <w:rsid w:val="002263B4"/>
    <w:rsid w:val="002431FE"/>
    <w:rsid w:val="00253E7F"/>
    <w:rsid w:val="002614B7"/>
    <w:rsid w:val="00265177"/>
    <w:rsid w:val="00283740"/>
    <w:rsid w:val="002A039B"/>
    <w:rsid w:val="002B5CE1"/>
    <w:rsid w:val="002F28B5"/>
    <w:rsid w:val="002F6AFA"/>
    <w:rsid w:val="003000CA"/>
    <w:rsid w:val="00323845"/>
    <w:rsid w:val="00326616"/>
    <w:rsid w:val="00330DAE"/>
    <w:rsid w:val="00360BB6"/>
    <w:rsid w:val="00375946"/>
    <w:rsid w:val="003879C4"/>
    <w:rsid w:val="00387A18"/>
    <w:rsid w:val="003A637D"/>
    <w:rsid w:val="003B544F"/>
    <w:rsid w:val="003F1411"/>
    <w:rsid w:val="003F75C9"/>
    <w:rsid w:val="00404435"/>
    <w:rsid w:val="00405762"/>
    <w:rsid w:val="00437D9B"/>
    <w:rsid w:val="0044397F"/>
    <w:rsid w:val="00481AB0"/>
    <w:rsid w:val="00485BEB"/>
    <w:rsid w:val="004A2D91"/>
    <w:rsid w:val="004B1BE0"/>
    <w:rsid w:val="004D27C4"/>
    <w:rsid w:val="004E1F0A"/>
    <w:rsid w:val="004F0C1E"/>
    <w:rsid w:val="00512D2B"/>
    <w:rsid w:val="005300D9"/>
    <w:rsid w:val="0054217F"/>
    <w:rsid w:val="0054698E"/>
    <w:rsid w:val="0056320D"/>
    <w:rsid w:val="0058204C"/>
    <w:rsid w:val="00593CF8"/>
    <w:rsid w:val="00595555"/>
    <w:rsid w:val="005B5209"/>
    <w:rsid w:val="005B7D34"/>
    <w:rsid w:val="00601CC8"/>
    <w:rsid w:val="006021FB"/>
    <w:rsid w:val="00617236"/>
    <w:rsid w:val="006270BD"/>
    <w:rsid w:val="00670E2F"/>
    <w:rsid w:val="00696FA1"/>
    <w:rsid w:val="006B1431"/>
    <w:rsid w:val="006B29B0"/>
    <w:rsid w:val="006C7DCA"/>
    <w:rsid w:val="00700AE0"/>
    <w:rsid w:val="0071462C"/>
    <w:rsid w:val="00746A54"/>
    <w:rsid w:val="00762BEF"/>
    <w:rsid w:val="00765534"/>
    <w:rsid w:val="00773E6D"/>
    <w:rsid w:val="0078042E"/>
    <w:rsid w:val="007A409A"/>
    <w:rsid w:val="007A685C"/>
    <w:rsid w:val="007B3DE1"/>
    <w:rsid w:val="007E4091"/>
    <w:rsid w:val="007E69A6"/>
    <w:rsid w:val="007F39A3"/>
    <w:rsid w:val="00823D94"/>
    <w:rsid w:val="008651DD"/>
    <w:rsid w:val="00866DDB"/>
    <w:rsid w:val="00884F5A"/>
    <w:rsid w:val="00885D0F"/>
    <w:rsid w:val="00913609"/>
    <w:rsid w:val="00917AE6"/>
    <w:rsid w:val="009450A9"/>
    <w:rsid w:val="00947381"/>
    <w:rsid w:val="00953996"/>
    <w:rsid w:val="00972668"/>
    <w:rsid w:val="0098061E"/>
    <w:rsid w:val="00991B2D"/>
    <w:rsid w:val="00996E64"/>
    <w:rsid w:val="009A7826"/>
    <w:rsid w:val="009B5BAB"/>
    <w:rsid w:val="009B5CAA"/>
    <w:rsid w:val="009C618A"/>
    <w:rsid w:val="009D2FDA"/>
    <w:rsid w:val="009E28E1"/>
    <w:rsid w:val="00A20AA1"/>
    <w:rsid w:val="00A21B82"/>
    <w:rsid w:val="00A23CEF"/>
    <w:rsid w:val="00A43D51"/>
    <w:rsid w:val="00A74501"/>
    <w:rsid w:val="00A859CF"/>
    <w:rsid w:val="00A8628D"/>
    <w:rsid w:val="00A9525C"/>
    <w:rsid w:val="00AA2171"/>
    <w:rsid w:val="00AA7E63"/>
    <w:rsid w:val="00AC52F6"/>
    <w:rsid w:val="00AD3F09"/>
    <w:rsid w:val="00AE1601"/>
    <w:rsid w:val="00AE78B5"/>
    <w:rsid w:val="00B00836"/>
    <w:rsid w:val="00B10D7D"/>
    <w:rsid w:val="00B40CF8"/>
    <w:rsid w:val="00B439F6"/>
    <w:rsid w:val="00B441CA"/>
    <w:rsid w:val="00B65D61"/>
    <w:rsid w:val="00B66DB0"/>
    <w:rsid w:val="00BA4E00"/>
    <w:rsid w:val="00BC1006"/>
    <w:rsid w:val="00BC3146"/>
    <w:rsid w:val="00BD0003"/>
    <w:rsid w:val="00BD5CCC"/>
    <w:rsid w:val="00BF20A8"/>
    <w:rsid w:val="00BF279A"/>
    <w:rsid w:val="00C32297"/>
    <w:rsid w:val="00C7685A"/>
    <w:rsid w:val="00C84194"/>
    <w:rsid w:val="00C965F1"/>
    <w:rsid w:val="00CA3CF7"/>
    <w:rsid w:val="00CE3F5B"/>
    <w:rsid w:val="00CF0557"/>
    <w:rsid w:val="00D03521"/>
    <w:rsid w:val="00D0496B"/>
    <w:rsid w:val="00D1547B"/>
    <w:rsid w:val="00D376A8"/>
    <w:rsid w:val="00D41F1E"/>
    <w:rsid w:val="00D45250"/>
    <w:rsid w:val="00D504EB"/>
    <w:rsid w:val="00D529DE"/>
    <w:rsid w:val="00D62ED1"/>
    <w:rsid w:val="00D7268E"/>
    <w:rsid w:val="00DE352B"/>
    <w:rsid w:val="00DF60BB"/>
    <w:rsid w:val="00DF7980"/>
    <w:rsid w:val="00E05D97"/>
    <w:rsid w:val="00E36660"/>
    <w:rsid w:val="00E44523"/>
    <w:rsid w:val="00E47E1B"/>
    <w:rsid w:val="00EA5FC4"/>
    <w:rsid w:val="00EC7A26"/>
    <w:rsid w:val="00ED25BF"/>
    <w:rsid w:val="00ED5495"/>
    <w:rsid w:val="00F03CDF"/>
    <w:rsid w:val="00F12617"/>
    <w:rsid w:val="00F41386"/>
    <w:rsid w:val="00F47A72"/>
    <w:rsid w:val="00F72A9C"/>
    <w:rsid w:val="00F75C88"/>
    <w:rsid w:val="00FA192B"/>
    <w:rsid w:val="00FA1A89"/>
    <w:rsid w:val="00FC62E3"/>
    <w:rsid w:val="00FD159F"/>
    <w:rsid w:val="00FE0E0C"/>
    <w:rsid w:val="00FF7090"/>
    <w:rsid w:val="0EC97E02"/>
    <w:rsid w:val="1FC46FB0"/>
    <w:rsid w:val="2FB815FE"/>
    <w:rsid w:val="3FE833FE"/>
    <w:rsid w:val="429950C4"/>
    <w:rsid w:val="49CD5294"/>
    <w:rsid w:val="4AA61CEF"/>
    <w:rsid w:val="4F1D6B1F"/>
    <w:rsid w:val="5FE61E93"/>
    <w:rsid w:val="690376D0"/>
    <w:rsid w:val="6AE6570A"/>
    <w:rsid w:val="74BE5759"/>
    <w:rsid w:val="75213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FFFD0"/>
  <w15:docId w15:val="{11761128-BE9F-4605-8AA7-9F689536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4"/>
    </w:rPr>
  </w:style>
  <w:style w:type="paragraph" w:styleId="10">
    <w:name w:val="heading 1"/>
    <w:basedOn w:val="a1"/>
    <w:next w:val="a1"/>
    <w:link w:val="11"/>
    <w:qFormat/>
    <w:pPr>
      <w:keepNext/>
      <w:keepLines/>
      <w:spacing w:beforeLines="50" w:before="50" w:afterLines="100" w:after="100" w:line="360" w:lineRule="auto"/>
      <w:jc w:val="center"/>
      <w:outlineLvl w:val="0"/>
    </w:pPr>
    <w:rPr>
      <w:rFonts w:eastAsia="仿宋"/>
      <w:b/>
      <w:bCs/>
      <w:kern w:val="44"/>
      <w:sz w:val="36"/>
      <w:szCs w:val="44"/>
    </w:rPr>
  </w:style>
  <w:style w:type="paragraph" w:styleId="20">
    <w:name w:val="heading 2"/>
    <w:basedOn w:val="a1"/>
    <w:next w:val="a1"/>
    <w:qFormat/>
    <w:pPr>
      <w:keepNext/>
      <w:keepLines/>
      <w:spacing w:beforeLines="50" w:before="50" w:afterLines="50" w:after="50" w:line="360" w:lineRule="auto"/>
      <w:jc w:val="left"/>
      <w:outlineLvl w:val="1"/>
    </w:pPr>
    <w:rPr>
      <w:rFonts w:eastAsia="仿宋"/>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qFormat/>
    <w:pPr>
      <w:ind w:left="1260"/>
      <w:jc w:val="left"/>
    </w:pPr>
    <w:rPr>
      <w:rFonts w:asciiTheme="minorHAnsi" w:hAnsiTheme="minorHAnsi"/>
      <w:sz w:val="18"/>
      <w:szCs w:val="18"/>
    </w:rPr>
  </w:style>
  <w:style w:type="paragraph" w:styleId="TOC5">
    <w:name w:val="toc 5"/>
    <w:basedOn w:val="a1"/>
    <w:next w:val="a1"/>
    <w:qFormat/>
    <w:pPr>
      <w:ind w:left="840"/>
      <w:jc w:val="left"/>
    </w:pPr>
    <w:rPr>
      <w:rFonts w:asciiTheme="minorHAnsi" w:hAnsiTheme="minorHAnsi"/>
      <w:sz w:val="18"/>
      <w:szCs w:val="18"/>
    </w:rPr>
  </w:style>
  <w:style w:type="paragraph" w:styleId="TOC3">
    <w:name w:val="toc 3"/>
    <w:basedOn w:val="a1"/>
    <w:next w:val="a1"/>
    <w:uiPriority w:val="39"/>
    <w:unhideWhenUsed/>
    <w:qFormat/>
    <w:pPr>
      <w:ind w:left="420"/>
      <w:jc w:val="left"/>
    </w:pPr>
    <w:rPr>
      <w:rFonts w:asciiTheme="minorHAnsi" w:hAnsiTheme="minorHAnsi"/>
      <w:i/>
      <w:iCs/>
      <w:sz w:val="20"/>
      <w:szCs w:val="20"/>
    </w:rPr>
  </w:style>
  <w:style w:type="paragraph" w:styleId="TOC8">
    <w:name w:val="toc 8"/>
    <w:basedOn w:val="a1"/>
    <w:next w:val="a1"/>
    <w:qFormat/>
    <w:pPr>
      <w:ind w:left="1470"/>
      <w:jc w:val="left"/>
    </w:pPr>
    <w:rPr>
      <w:rFonts w:asciiTheme="minorHAnsi" w:hAnsiTheme="minorHAnsi"/>
      <w:sz w:val="18"/>
      <w:szCs w:val="18"/>
    </w:rPr>
  </w:style>
  <w:style w:type="paragraph" w:styleId="a5">
    <w:name w:val="Balloon Text"/>
    <w:basedOn w:val="a1"/>
    <w:semiHidden/>
    <w:qFormat/>
    <w:rPr>
      <w:sz w:val="18"/>
      <w:szCs w:val="18"/>
    </w:rPr>
  </w:style>
  <w:style w:type="paragraph" w:styleId="a6">
    <w:name w:val="footer"/>
    <w:basedOn w:val="a1"/>
    <w:link w:val="a7"/>
    <w:uiPriority w:val="99"/>
    <w:qFormat/>
    <w:pPr>
      <w:tabs>
        <w:tab w:val="center" w:pos="4153"/>
        <w:tab w:val="right" w:pos="8306"/>
      </w:tabs>
      <w:snapToGrid w:val="0"/>
      <w:jc w:val="left"/>
    </w:pPr>
    <w:rPr>
      <w:sz w:val="18"/>
      <w:szCs w:val="18"/>
    </w:rPr>
  </w:style>
  <w:style w:type="paragraph" w:styleId="a8">
    <w:name w:val="header"/>
    <w:basedOn w:val="a1"/>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qFormat/>
    <w:pPr>
      <w:spacing w:before="60" w:after="60"/>
      <w:jc w:val="left"/>
    </w:pPr>
    <w:rPr>
      <w:rFonts w:asciiTheme="minorHAnsi" w:hAnsiTheme="minorHAnsi"/>
      <w:b/>
      <w:bCs/>
      <w:caps/>
      <w:sz w:val="28"/>
      <w:szCs w:val="20"/>
    </w:rPr>
  </w:style>
  <w:style w:type="paragraph" w:styleId="TOC4">
    <w:name w:val="toc 4"/>
    <w:basedOn w:val="a1"/>
    <w:next w:val="a1"/>
    <w:qFormat/>
    <w:pPr>
      <w:ind w:left="630"/>
      <w:jc w:val="left"/>
    </w:pPr>
    <w:rPr>
      <w:rFonts w:asciiTheme="minorHAnsi" w:hAnsiTheme="minorHAnsi"/>
      <w:sz w:val="18"/>
      <w:szCs w:val="18"/>
    </w:rPr>
  </w:style>
  <w:style w:type="paragraph" w:styleId="TOC6">
    <w:name w:val="toc 6"/>
    <w:basedOn w:val="a1"/>
    <w:next w:val="a1"/>
    <w:qFormat/>
    <w:pPr>
      <w:ind w:left="1050"/>
      <w:jc w:val="left"/>
    </w:pPr>
    <w:rPr>
      <w:rFonts w:asciiTheme="minorHAnsi" w:hAnsiTheme="minorHAnsi"/>
      <w:sz w:val="18"/>
      <w:szCs w:val="18"/>
    </w:rPr>
  </w:style>
  <w:style w:type="paragraph" w:styleId="TOC2">
    <w:name w:val="toc 2"/>
    <w:basedOn w:val="a1"/>
    <w:next w:val="a1"/>
    <w:uiPriority w:val="39"/>
    <w:qFormat/>
    <w:pPr>
      <w:spacing w:line="360" w:lineRule="auto"/>
      <w:ind w:left="210"/>
      <w:jc w:val="left"/>
    </w:pPr>
    <w:rPr>
      <w:rFonts w:asciiTheme="minorHAnsi" w:hAnsiTheme="minorHAnsi"/>
      <w:smallCaps/>
      <w:sz w:val="24"/>
      <w:szCs w:val="20"/>
    </w:rPr>
  </w:style>
  <w:style w:type="paragraph" w:styleId="TOC9">
    <w:name w:val="toc 9"/>
    <w:basedOn w:val="a1"/>
    <w:next w:val="a1"/>
    <w:qFormat/>
    <w:pPr>
      <w:ind w:left="1680"/>
      <w:jc w:val="left"/>
    </w:pPr>
    <w:rPr>
      <w:rFonts w:asciiTheme="minorHAnsi" w:hAnsiTheme="minorHAnsi"/>
      <w:sz w:val="18"/>
      <w:szCs w:val="18"/>
    </w:rPr>
  </w:style>
  <w:style w:type="paragraph" w:styleId="a9">
    <w:name w:val="Normal (Web)"/>
    <w:basedOn w:val="a1"/>
    <w:qFormat/>
    <w:pPr>
      <w:jc w:val="left"/>
    </w:pPr>
    <w:rPr>
      <w:kern w:val="0"/>
      <w:sz w:val="24"/>
    </w:rPr>
  </w:style>
  <w:style w:type="character" w:styleId="aa">
    <w:name w:val="page number"/>
    <w:basedOn w:val="a2"/>
    <w:qFormat/>
  </w:style>
  <w:style w:type="character" w:styleId="ab">
    <w:name w:val="Hyperlink"/>
    <w:uiPriority w:val="99"/>
    <w:qFormat/>
    <w:rPr>
      <w:color w:val="0000FF"/>
      <w:u w:val="single"/>
    </w:rPr>
  </w:style>
  <w:style w:type="character" w:customStyle="1" w:styleId="11">
    <w:name w:val="标题 1 字符"/>
    <w:link w:val="10"/>
    <w:qFormat/>
    <w:rPr>
      <w:rFonts w:eastAsia="仿宋"/>
      <w:b/>
      <w:bCs/>
      <w:kern w:val="44"/>
      <w:sz w:val="36"/>
      <w:szCs w:val="44"/>
    </w:rPr>
  </w:style>
  <w:style w:type="paragraph" w:customStyle="1" w:styleId="a">
    <w:name w:val="章编号"/>
    <w:qFormat/>
    <w:pPr>
      <w:numPr>
        <w:numId w:val="1"/>
      </w:numPr>
      <w:adjustRightInd w:val="0"/>
      <w:snapToGrid w:val="0"/>
      <w:spacing w:line="360" w:lineRule="auto"/>
      <w:jc w:val="center"/>
      <w:outlineLvl w:val="0"/>
    </w:pPr>
    <w:rPr>
      <w:rFonts w:ascii="宋体" w:hAnsi="Calibri"/>
      <w:b/>
      <w:snapToGrid w:val="0"/>
      <w:sz w:val="30"/>
      <w:szCs w:val="21"/>
    </w:rPr>
  </w:style>
  <w:style w:type="paragraph" w:customStyle="1" w:styleId="a0">
    <w:name w:val="节编号"/>
    <w:qFormat/>
    <w:pPr>
      <w:numPr>
        <w:ilvl w:val="1"/>
        <w:numId w:val="1"/>
      </w:numPr>
      <w:adjustRightInd w:val="0"/>
      <w:snapToGrid w:val="0"/>
      <w:spacing w:line="360" w:lineRule="auto"/>
      <w:ind w:firstLine="482"/>
      <w:outlineLvl w:val="1"/>
    </w:pPr>
    <w:rPr>
      <w:rFonts w:ascii="宋体" w:hAnsi="Calibri"/>
      <w:b/>
      <w:snapToGrid w:val="0"/>
      <w:sz w:val="28"/>
      <w:szCs w:val="21"/>
    </w:rPr>
  </w:style>
  <w:style w:type="paragraph" w:customStyle="1" w:styleId="1">
    <w:name w:val="条编号1"/>
    <w:qFormat/>
    <w:pPr>
      <w:numPr>
        <w:ilvl w:val="2"/>
        <w:numId w:val="1"/>
      </w:numPr>
      <w:adjustRightInd w:val="0"/>
      <w:snapToGrid w:val="0"/>
      <w:spacing w:line="360" w:lineRule="auto"/>
      <w:outlineLvl w:val="2"/>
    </w:pPr>
    <w:rPr>
      <w:rFonts w:ascii="宋体" w:hAnsi="Calibri"/>
      <w:snapToGrid w:val="0"/>
      <w:sz w:val="24"/>
      <w:szCs w:val="21"/>
    </w:rPr>
  </w:style>
  <w:style w:type="paragraph" w:customStyle="1" w:styleId="2">
    <w:name w:val="条编号2"/>
    <w:qFormat/>
    <w:pPr>
      <w:numPr>
        <w:ilvl w:val="3"/>
        <w:numId w:val="1"/>
      </w:numPr>
      <w:adjustRightInd w:val="0"/>
      <w:snapToGrid w:val="0"/>
      <w:spacing w:line="360" w:lineRule="auto"/>
      <w:outlineLvl w:val="3"/>
    </w:pPr>
    <w:rPr>
      <w:rFonts w:ascii="宋体" w:hAnsi="Calibri"/>
      <w:snapToGrid w:val="0"/>
      <w:sz w:val="24"/>
      <w:szCs w:val="21"/>
    </w:rPr>
  </w:style>
  <w:style w:type="paragraph" w:customStyle="1" w:styleId="3">
    <w:name w:val="条编号3"/>
    <w:qFormat/>
    <w:pPr>
      <w:numPr>
        <w:ilvl w:val="4"/>
        <w:numId w:val="1"/>
      </w:numPr>
      <w:adjustRightInd w:val="0"/>
      <w:snapToGrid w:val="0"/>
      <w:spacing w:line="360" w:lineRule="auto"/>
      <w:outlineLvl w:val="4"/>
    </w:pPr>
    <w:rPr>
      <w:rFonts w:ascii="宋体" w:hAnsi="Calibri"/>
      <w:snapToGrid w:val="0"/>
      <w:sz w:val="24"/>
      <w:szCs w:val="21"/>
    </w:rPr>
  </w:style>
  <w:style w:type="paragraph" w:customStyle="1" w:styleId="4">
    <w:name w:val="条编号4"/>
    <w:qFormat/>
    <w:pPr>
      <w:numPr>
        <w:ilvl w:val="5"/>
        <w:numId w:val="1"/>
      </w:numPr>
      <w:adjustRightInd w:val="0"/>
      <w:snapToGrid w:val="0"/>
      <w:spacing w:line="360" w:lineRule="auto"/>
      <w:ind w:firstLineChars="200" w:firstLine="200"/>
      <w:outlineLvl w:val="5"/>
    </w:pPr>
    <w:rPr>
      <w:rFonts w:ascii="宋体" w:hAnsi="Calibri"/>
      <w:snapToGrid w:val="0"/>
      <w:sz w:val="24"/>
      <w:szCs w:val="21"/>
    </w:rPr>
  </w:style>
  <w:style w:type="paragraph" w:customStyle="1" w:styleId="ac">
    <w:name w:val="正文单居"/>
    <w:basedOn w:val="a1"/>
    <w:qFormat/>
    <w:pPr>
      <w:adjustRightInd w:val="0"/>
      <w:snapToGrid w:val="0"/>
      <w:jc w:val="center"/>
    </w:pPr>
    <w:rPr>
      <w:rFonts w:ascii="宋体" w:hAnsi="Calibri"/>
      <w:snapToGrid w:val="0"/>
      <w:kern w:val="0"/>
      <w:sz w:val="24"/>
      <w:szCs w:val="21"/>
    </w:rPr>
  </w:style>
  <w:style w:type="paragraph" w:customStyle="1" w:styleId="12">
    <w:name w:val="条编号1正"/>
    <w:basedOn w:val="1"/>
    <w:qFormat/>
    <w:pPr>
      <w:outlineLvl w:val="9"/>
    </w:pPr>
  </w:style>
  <w:style w:type="paragraph" w:customStyle="1" w:styleId="TOC10">
    <w:name w:val="TOC 标题1"/>
    <w:basedOn w:val="10"/>
    <w:next w:val="a1"/>
    <w:uiPriority w:val="39"/>
    <w:unhideWhenUsed/>
    <w:qFormat/>
    <w:pPr>
      <w:widowControl/>
      <w:spacing w:beforeLines="0" w:before="480" w:afterLines="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7">
    <w:name w:val="页脚 字符"/>
    <w:basedOn w:val="a2"/>
    <w:link w:val="a6"/>
    <w:uiPriority w:val="99"/>
    <w:qFormat/>
    <w:rPr>
      <w:kern w:val="2"/>
      <w:sz w:val="18"/>
      <w:szCs w:val="18"/>
    </w:rPr>
  </w:style>
  <w:style w:type="paragraph" w:customStyle="1" w:styleId="ad">
    <w:name w:val="表格内容"/>
    <w:basedOn w:val="a1"/>
    <w:qFormat/>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7C92E7-3AEC-45E2-A1D2-042D533438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1159</Words>
  <Characters>6607</Characters>
  <Application>Microsoft Office Word</Application>
  <DocSecurity>0</DocSecurity>
  <Lines>55</Lines>
  <Paragraphs>15</Paragraphs>
  <ScaleCrop>false</ScaleCrop>
  <Company>微软中国</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微软用户</dc:creator>
  <cp:lastModifiedBy>86158</cp:lastModifiedBy>
  <cp:revision>18</cp:revision>
  <cp:lastPrinted>2017-09-28T08:30:00Z</cp:lastPrinted>
  <dcterms:created xsi:type="dcterms:W3CDTF">2016-01-16T05:26:00Z</dcterms:created>
  <dcterms:modified xsi:type="dcterms:W3CDTF">2022-05-12T09:46:00Z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